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Formularz wymaganych warunków technicznyc</w:t>
      </w:r>
      <w:r>
        <w:rPr>
          <w:rFonts w:ascii="Calibri" w:hAnsi="Calibri"/>
          <w:b/>
          <w:sz w:val="28"/>
          <w:szCs w:val="28"/>
        </w:rPr>
        <w:t>h</w:t>
      </w:r>
    </w:p>
    <w:tbl>
      <w:tblPr>
        <w:tblpPr w:vertAnchor="text" w:horzAnchor="page" w:tblpXSpec="center" w:leftFromText="141" w:rightFromText="141" w:tblpY="72"/>
        <w:tblW w:w="1221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20"/>
        <w:gridCol w:w="7246"/>
        <w:gridCol w:w="1517"/>
        <w:gridCol w:w="2935"/>
      </w:tblGrid>
      <w:tr>
        <w:trPr>
          <w:trHeight w:val="912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Lp.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Parametry graniczne dla glukometrów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Parametr wymagany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Spełnienie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warunku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Tak/Nie                                              (wypełnić)</w:t>
            </w:r>
          </w:p>
        </w:tc>
      </w:tr>
      <w:tr>
        <w:trPr>
          <w:trHeight w:val="912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Czytelny wyświetlacz urządzenia pomiarowego, automatyczne włączenie i wyłączenie w razie braku wykonania pomiaru, konstrukcja systemu (test paskowy i glukometr) uniemożliwiająca bezpośredni kontakt krwi z urządzeniem pomiarowym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Szybki pomiar (do 5 sekund) wymagający minimalnej ilości krwi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(do 0,7 µl)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Duży zakres pomiarów (20-600 mg/dl)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Glukometr wykorzystujący do badania dehydrogenazę glukozową  /GDH – FAD/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Możliwość wykonania pomiaru z krwi: włośniczkowej, żylnej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>
        <w:trPr>
          <w:trHeight w:val="458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Automatyczna jakościowa kontrola pomiaru (sygnalizowanie /detekcja/ zbyt małej ilości krwi, uszkodzenia testu paskowego,)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Łatwe i automatyczne wykonanie pomiarów kontrolnych przy użyciu płynów kontrolnych* (termin przydatności płynów min. 3 miesiące po otworzeniu opakowania)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>
        <w:trPr>
          <w:trHeight w:val="458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Paski testowe – min 6-miesięczna przydatność do użycia, po otwarciu opakowania z testami paskowymi utrzymanie ważności min 3 miesiące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Dokładność pomiaru: poniżej 100 mg/dl zmienność nie większa niż ±15 mg/dl wartości referencyjnych; powyżej 100 mg/dl zmienność nie większa niż ±15% wartości referencyjnych zgodnie z normą ISO 15197/2015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Dostosowanie pomiaru do aktualnego hematokrytu (brak zmian pomiaru wzg. hematokrytu) zakres minimum 35-60 % (dopuszczalny szerszy zakres).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>
        <w:trPr>
          <w:trHeight w:val="1020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Brak interferencji pomiaru z substancjami występującymi w osoczu – wg wykazu ISO 15197/2015 w szczególności wzg. często występujących u pacjentów hospitalizowanych (np. cholesterol, triglicerydy, kreatynina, kwas moczowy, bilirubina, hemoglobina, salicylany, ibuprofen, heparyna, acetaminofen, ikodekstryna)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Paski nie wymagające kodowania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Kapilara zasysająca na szczycie paska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Brak wpływu na wynik po dotykaniu paska testowego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Funkcja automatycznego wyrzutu paska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Instrukcji obsługi glukometrów w języku polskim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Jednostka miary: mg/dl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ind w:left="2124" w:firstLine="708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 Light" w:hAnsi="Calibri Light" w:eastAsia="Calibri" w:cs="Calibri Light"/>
          <w:bCs/>
          <w:color w:val="000000"/>
          <w:szCs w:val="16"/>
          <w:lang w:eastAsia="en-US"/>
        </w:rPr>
      </w:pPr>
      <w:r>
        <w:rPr>
          <w:rFonts w:eastAsia="Calibri" w:cs="Calibri Light" w:ascii="Calibri Light" w:hAnsi="Calibri Light"/>
          <w:bCs/>
          <w:color w:val="000000"/>
          <w:szCs w:val="16"/>
          <w:lang w:eastAsia="en-US"/>
        </w:rPr>
      </w:r>
    </w:p>
    <w:p>
      <w:pPr>
        <w:pStyle w:val="Normal"/>
        <w:rPr>
          <w:rFonts w:ascii="Calibri Light" w:hAnsi="Calibri Light" w:eastAsia="Calibri" w:cs="Calibri Light"/>
          <w:bCs/>
          <w:color w:val="000000"/>
          <w:szCs w:val="16"/>
          <w:lang w:eastAsia="en-US"/>
        </w:rPr>
      </w:pPr>
      <w:r>
        <w:rPr>
          <w:rFonts w:eastAsia="Calibri" w:cs="Calibri Light" w:ascii="Calibri Light" w:hAnsi="Calibri Light"/>
          <w:bCs/>
          <w:color w:val="000000"/>
          <w:szCs w:val="16"/>
          <w:lang w:eastAsia="en-US"/>
        </w:rPr>
      </w:r>
    </w:p>
    <w:p>
      <w:pPr>
        <w:pStyle w:val="Normal"/>
        <w:rPr>
          <w:rFonts w:ascii="Calibri Light" w:hAnsi="Calibri Light" w:eastAsia="Calibri" w:cs="Calibri Light"/>
          <w:bCs/>
          <w:color w:val="000000"/>
          <w:szCs w:val="16"/>
          <w:lang w:eastAsia="en-US"/>
        </w:rPr>
      </w:pPr>
      <w:r>
        <w:rPr>
          <w:rFonts w:eastAsia="Calibri" w:cs="Calibri Light" w:ascii="Calibri Light" w:hAnsi="Calibri Light"/>
          <w:bCs/>
          <w:color w:val="000000"/>
          <w:szCs w:val="16"/>
          <w:lang w:eastAsia="en-US"/>
        </w:rPr>
      </w:r>
    </w:p>
    <w:p>
      <w:pPr>
        <w:pStyle w:val="Normal"/>
        <w:rPr>
          <w:rFonts w:ascii="Calibri Light" w:hAnsi="Calibri Light" w:eastAsia="Calibri" w:cs="Calibri Light"/>
          <w:bCs/>
          <w:color w:val="000000"/>
          <w:szCs w:val="16"/>
          <w:lang w:eastAsia="en-US"/>
        </w:rPr>
      </w:pPr>
      <w:r>
        <w:rPr>
          <w:rFonts w:eastAsia="Calibri" w:cs="Calibri Light" w:ascii="Calibri Light" w:hAnsi="Calibri Light"/>
          <w:bCs/>
          <w:color w:val="000000"/>
          <w:szCs w:val="16"/>
          <w:lang w:eastAsia="en-US"/>
        </w:rPr>
      </w:r>
    </w:p>
    <w:p>
      <w:pPr>
        <w:pStyle w:val="Normal"/>
        <w:rPr>
          <w:rFonts w:ascii="Calibri Light" w:hAnsi="Calibri Light" w:eastAsia="Calibri" w:cs="Calibri Light"/>
          <w:bCs/>
          <w:color w:val="000000"/>
          <w:szCs w:val="16"/>
          <w:lang w:eastAsia="en-US"/>
        </w:rPr>
      </w:pPr>
      <w:r>
        <w:rPr>
          <w:rFonts w:eastAsia="Calibri" w:cs="Calibri Light" w:ascii="Calibri Light" w:hAnsi="Calibri Light"/>
          <w:bCs/>
          <w:color w:val="000000"/>
          <w:szCs w:val="16"/>
          <w:lang w:eastAsia="en-US"/>
        </w:rPr>
      </w:r>
    </w:p>
    <w:p>
      <w:pPr>
        <w:pStyle w:val="Normal"/>
        <w:rPr>
          <w:rFonts w:ascii="Calibri Light" w:hAnsi="Calibri Light" w:eastAsia="Calibri" w:cs="Calibri Light"/>
          <w:bCs/>
          <w:color w:val="000000"/>
          <w:szCs w:val="16"/>
          <w:lang w:eastAsia="en-US"/>
        </w:rPr>
      </w:pPr>
      <w:r>
        <w:rPr>
          <w:rFonts w:eastAsia="Calibri" w:cs="Calibri Light" w:ascii="Calibri Light" w:hAnsi="Calibri Light"/>
          <w:bCs/>
          <w:color w:val="000000"/>
          <w:szCs w:val="16"/>
          <w:lang w:eastAsia="en-US"/>
        </w:rPr>
      </w:r>
    </w:p>
    <w:p>
      <w:pPr>
        <w:pStyle w:val="Normal"/>
        <w:rPr>
          <w:rFonts w:ascii="Calibri Light" w:hAnsi="Calibri Light" w:eastAsia="Calibri" w:cs="Calibri Light"/>
          <w:bCs/>
          <w:color w:val="000000"/>
          <w:szCs w:val="16"/>
          <w:lang w:eastAsia="en-US"/>
        </w:rPr>
      </w:pPr>
      <w:r>
        <w:rPr>
          <w:rFonts w:eastAsia="Calibri" w:cs="Calibri Light" w:ascii="Calibri Light" w:hAnsi="Calibri Light"/>
          <w:bCs/>
          <w:color w:val="000000"/>
          <w:szCs w:val="16"/>
          <w:lang w:eastAsia="en-US"/>
        </w:rPr>
      </w:r>
    </w:p>
    <w:p>
      <w:pPr>
        <w:pStyle w:val="Normal"/>
        <w:rPr>
          <w:rFonts w:ascii="Calibri Light" w:hAnsi="Calibri Light" w:eastAsia="Calibri" w:cs="Calibri Light"/>
          <w:bCs/>
          <w:color w:val="000000"/>
          <w:szCs w:val="16"/>
          <w:lang w:eastAsia="en-US"/>
        </w:rPr>
      </w:pPr>
      <w:r>
        <w:rPr>
          <w:rFonts w:eastAsia="Calibri" w:cs="Calibri Light" w:ascii="Calibri Light" w:hAnsi="Calibri Light"/>
          <w:bCs/>
          <w:color w:val="000000"/>
          <w:szCs w:val="16"/>
          <w:lang w:eastAsia="en-US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Uwagi: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*Wykonawca zapewnia płyny kontrolne  potrzebne do wykonywania pomiarów kontrolnych w ilości gwarantującej prawidłowe działanie glukometrów przez cały okres dzierżawy.</w:t>
      </w:r>
    </w:p>
    <w:p>
      <w:pPr>
        <w:pStyle w:val="Normal"/>
        <w:rPr>
          <w:rFonts w:ascii="Calibri Light" w:hAnsi="Calibri Light" w:eastAsia="Calibri" w:cs="Calibri Light"/>
          <w:bCs/>
          <w:color w:val="000000"/>
          <w:szCs w:val="16"/>
          <w:lang w:eastAsia="en-US"/>
        </w:rPr>
      </w:pPr>
      <w:r>
        <w:rPr>
          <w:rFonts w:eastAsia="Calibri" w:cs="Calibri Light" w:ascii="Calibri Light" w:hAnsi="Calibri Light"/>
          <w:bCs/>
          <w:color w:val="000000"/>
          <w:szCs w:val="16"/>
          <w:lang w:eastAsia="en-US"/>
        </w:rPr>
      </w:r>
    </w:p>
    <w:p>
      <w:pPr>
        <w:pStyle w:val="Normal"/>
        <w:rPr>
          <w:rFonts w:ascii="Calibri Light" w:hAnsi="Calibri Light" w:eastAsia="Calibri" w:cs="Calibri Light"/>
          <w:bCs/>
          <w:color w:val="000000"/>
          <w:szCs w:val="16"/>
          <w:lang w:eastAsia="en-US"/>
        </w:rPr>
      </w:pPr>
      <w:r>
        <w:rPr>
          <w:rFonts w:eastAsia="Calibri" w:cs="Calibri Light" w:ascii="Calibri Light" w:hAnsi="Calibri Light"/>
          <w:bCs/>
          <w:color w:val="000000"/>
          <w:szCs w:val="16"/>
          <w:lang w:eastAsia="en-US"/>
        </w:rPr>
      </w:r>
    </w:p>
    <w:p>
      <w:pPr>
        <w:pStyle w:val="Normal"/>
        <w:rPr>
          <w:rFonts w:ascii="Calibri Light" w:hAnsi="Calibri Light" w:eastAsia="Calibri" w:cs="Calibri Light"/>
          <w:bCs/>
          <w:color w:val="000000"/>
          <w:szCs w:val="16"/>
          <w:lang w:eastAsia="en-US"/>
        </w:rPr>
      </w:pPr>
      <w:r>
        <w:rPr>
          <w:rFonts w:eastAsia="Calibri" w:cs="Calibri Light" w:ascii="Calibri Light" w:hAnsi="Calibri Light"/>
          <w:bCs/>
          <w:color w:val="000000"/>
          <w:szCs w:val="16"/>
          <w:lang w:eastAsia="en-US"/>
        </w:rPr>
      </w:r>
    </w:p>
    <w:p>
      <w:pPr>
        <w:pStyle w:val="Normal"/>
        <w:jc w:val="right"/>
        <w:rPr>
          <w:rFonts w:ascii="Calibri Light" w:hAnsi="Calibri Light" w:eastAsia="Calibri" w:cs="Calibri Light"/>
          <w:bCs/>
          <w:color w:val="000000"/>
          <w:sz w:val="18"/>
          <w:szCs w:val="16"/>
          <w:lang w:eastAsia="en-US"/>
        </w:rPr>
      </w:pPr>
      <w:r>
        <w:rPr>
          <w:rFonts w:eastAsia="Calibri" w:cs="Calibri Light" w:ascii="Calibri Light" w:hAnsi="Calibri Light"/>
          <w:bCs/>
          <w:color w:val="000000"/>
          <w:sz w:val="18"/>
          <w:szCs w:val="16"/>
          <w:lang w:eastAsia="en-US"/>
        </w:rPr>
        <w:t xml:space="preserve"> </w:t>
      </w:r>
    </w:p>
    <w:p>
      <w:pPr>
        <w:pStyle w:val="Normal"/>
        <w:jc w:val="right"/>
        <w:rPr>
          <w:rFonts w:ascii="Calibri Light" w:hAnsi="Calibri Light" w:eastAsia="Calibri" w:cs="Calibri Light"/>
          <w:bCs/>
          <w:color w:val="000000"/>
          <w:sz w:val="18"/>
          <w:szCs w:val="16"/>
          <w:lang w:eastAsia="en-US"/>
        </w:rPr>
      </w:pPr>
      <w:r>
        <w:rPr>
          <w:rFonts w:eastAsia="Calibri" w:cs="Calibri Light" w:ascii="Calibri Light" w:hAnsi="Calibri Light"/>
          <w:bCs/>
          <w:color w:val="000000"/>
          <w:sz w:val="18"/>
          <w:szCs w:val="16"/>
          <w:lang w:eastAsia="en-US"/>
        </w:rPr>
        <w:t xml:space="preserve"> </w:t>
      </w:r>
      <w:bookmarkStart w:id="0" w:name="_GoBack"/>
      <w:bookmarkEnd w:id="0"/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4723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e44723"/>
    <w:rPr>
      <w:rFonts w:ascii="Arial" w:hAnsi="Arial" w:eastAsia="Times New Roman" w:cs="Times New Roman"/>
      <w:sz w:val="20"/>
      <w:szCs w:val="20"/>
      <w:lang w:val="x-none"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84125"/>
    <w:rPr>
      <w:rFonts w:ascii="Arial" w:hAnsi="Arial" w:eastAsia="Times New Roman" w:cs="Arial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e44723"/>
    <w:pPr>
      <w:tabs>
        <w:tab w:val="clear" w:pos="708"/>
        <w:tab w:val="center" w:pos="4536" w:leader="none"/>
        <w:tab w:val="right" w:pos="9072" w:leader="none"/>
      </w:tabs>
    </w:pPr>
    <w:rPr>
      <w:rFonts w:cs="Times New Roman"/>
      <w:sz w:val="20"/>
      <w:szCs w:val="20"/>
      <w:lang w:val="x-none"/>
    </w:rPr>
  </w:style>
  <w:style w:type="paragraph" w:styleId="Stopka">
    <w:name w:val="Footer"/>
    <w:basedOn w:val="Normal"/>
    <w:link w:val="StopkaZnak"/>
    <w:uiPriority w:val="99"/>
    <w:unhideWhenUsed/>
    <w:rsid w:val="00c8412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LibreOffice/7.0.2.2$Windows_X86_64 LibreOffice_project/8349ace3c3162073abd90d81fd06dcfb6b36b994</Application>
  <Pages>3</Pages>
  <Words>353</Words>
  <Characters>2110</Characters>
  <CharactersWithSpaces>5600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2022-03-04T10:16:00Z</dcterms:created>
  <dc:creator>Kolejko Elzbieta</dc:creator>
  <dc:description/>
  <dc:language>pl-PL</dc:language>
  <cp:lastModifiedBy/>
  <dcterms:modified xsi:type="dcterms:W3CDTF">2022-05-10T08:36:31Z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