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43CE" w14:textId="6F36112C" w:rsidR="003C402A" w:rsidRDefault="003C402A" w:rsidP="00AA3849">
      <w:pPr>
        <w:ind w:left="5664" w:firstLine="708"/>
        <w:rPr>
          <w:rFonts w:ascii="Arial" w:hAnsi="Arial" w:cs="Arial"/>
          <w:sz w:val="16"/>
          <w:szCs w:val="16"/>
        </w:rPr>
      </w:pPr>
    </w:p>
    <w:p w14:paraId="7712100B" w14:textId="30B47010" w:rsidR="003C402A" w:rsidRPr="003C402A" w:rsidRDefault="009F38E5" w:rsidP="003C402A">
      <w:pPr>
        <w:pStyle w:val="Nagwek11"/>
        <w:spacing w:before="0" w:after="0"/>
        <w:ind w:left="432" w:hanging="432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 </w:t>
      </w:r>
      <w:r w:rsidR="003C402A" w:rsidRPr="003C402A">
        <w:rPr>
          <w:rFonts w:ascii="Arial" w:hAnsi="Arial" w:cs="Arial"/>
          <w:sz w:val="18"/>
          <w:szCs w:val="18"/>
        </w:rPr>
        <w:t xml:space="preserve">Specyfikacja  techniczno – eksploatacyjna </w:t>
      </w:r>
    </w:p>
    <w:tbl>
      <w:tblPr>
        <w:tblW w:w="15055" w:type="dxa"/>
        <w:tblInd w:w="-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"/>
        <w:gridCol w:w="5658"/>
        <w:gridCol w:w="1498"/>
        <w:gridCol w:w="1716"/>
        <w:gridCol w:w="2884"/>
        <w:gridCol w:w="2404"/>
      </w:tblGrid>
      <w:tr w:rsidR="003C402A" w:rsidRPr="003C402A" w14:paraId="41C617EC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D8CD6B" w14:textId="77777777" w:rsidR="003C402A" w:rsidRPr="003C402A" w:rsidRDefault="003C402A" w:rsidP="009F4DF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4D593E" w14:textId="77777777" w:rsidR="003C402A" w:rsidRPr="003C402A" w:rsidRDefault="003C402A" w:rsidP="009F4DF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654B0F" w14:textId="77777777" w:rsidR="003C402A" w:rsidRPr="003C402A" w:rsidRDefault="003C402A" w:rsidP="009F4DF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D4662" w14:textId="77777777" w:rsidR="003C402A" w:rsidRPr="003C402A" w:rsidRDefault="003C402A" w:rsidP="009F4DF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</w:rPr>
              <w:t>Parametry oferowane – należy podać i szczegółowo</w:t>
            </w:r>
          </w:p>
          <w:p w14:paraId="0D81DF78" w14:textId="77777777" w:rsidR="003C402A" w:rsidRPr="003C402A" w:rsidRDefault="003C402A" w:rsidP="009F4DF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</w:rPr>
              <w:t>opisać każdy oferowany parametr</w:t>
            </w:r>
          </w:p>
        </w:tc>
        <w:tc>
          <w:tcPr>
            <w:tcW w:w="2884" w:type="dxa"/>
            <w:shd w:val="clear" w:color="auto" w:fill="auto"/>
          </w:tcPr>
          <w:p w14:paraId="4A66A51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ED8E49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EDD3149" w14:textId="77777777" w:rsidTr="009F38E5">
        <w:tc>
          <w:tcPr>
            <w:tcW w:w="9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92DF" w14:textId="77777777" w:rsidR="003C402A" w:rsidRPr="003C402A" w:rsidRDefault="003C402A" w:rsidP="009F4DF2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  <w:highlight w:val="white"/>
              </w:rPr>
              <w:t>I Wymagania ogólne</w:t>
            </w:r>
          </w:p>
        </w:tc>
        <w:tc>
          <w:tcPr>
            <w:tcW w:w="2884" w:type="dxa"/>
            <w:tcBorders>
              <w:left w:val="single" w:sz="4" w:space="0" w:color="000000"/>
            </w:tcBorders>
            <w:shd w:val="clear" w:color="auto" w:fill="auto"/>
          </w:tcPr>
          <w:p w14:paraId="305F628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654D0D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CBBF01E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7B2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A6B7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Nazwa urządzenia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AC93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443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F34720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A06AA3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3AA067A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925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7BC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Typ urządzenia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644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A93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0FAAB3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B87CC0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6EB6621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2E2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014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Producent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F7B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985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0AF4DA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0429F7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A97519B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BCA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83E00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Kraj pochodzenia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30D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3DD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FCC2E3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716A3D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0D01417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887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13C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Rok produkcji 2022, urządzenie fabrycznie nowe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8AFE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253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9C87AE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B1F0A0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6E1C6FF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B20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E57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Urządzenie umożliwiające wykonanie pełnego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zakresu badań klinicznych obejmującego: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- badania mózgowia,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- badania klatki piersiowej, jamy brzusznej i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miednicy,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- badania naczyń wieńcowych, domózgowych,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wewnątrzczaszkowych, dużych naczyń oraz naczyń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obwodowych wraz z automatyczną analizą ich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przebiegu oraz oceną ilościową wymiarów,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-akwizycję submilimetrową niewielkich struktur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anatomicznych, takich jak narządy wewnątrz piramid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kości skroniowych,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- badania ortopedyczne,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- badania wielonarządowe.</w:t>
            </w:r>
          </w:p>
          <w:p w14:paraId="653584A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- wirtualna endoskopia</w:t>
            </w: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</w:p>
          <w:p w14:paraId="136F0245" w14:textId="3671EA3D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- badania kardiologiczne. </w:t>
            </w: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Bramkowanie retrospektywne z wbudowanym algorytmem wyszukiwania najlepszej fazy rekonstrukcji serca, bramkowanie prospektywne, automatyczne wykrywanie arytmii. Monitor kardiologiczny zintegrowany z gantry.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E7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6D6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E4F9B2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F01107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13C950C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2B0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B33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Tomograf wyposażony w automatyczną strzykawkę kontrastu specjalizowaną do badań TK:</w:t>
            </w:r>
          </w:p>
          <w:p w14:paraId="45E3495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-System o gwarantowanej sterylności zestawu dziennego przez 24 godziny </w:t>
            </w:r>
          </w:p>
          <w:p w14:paraId="3B81C06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-Funkcja symultanicznego podawania kontrastu i soli fizjologicznej </w:t>
            </w:r>
          </w:p>
          <w:p w14:paraId="7BBF574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-Moduł Automatycznej Dokumentacji z wbudowanym czytnikiem kodów kreskowych </w:t>
            </w:r>
          </w:p>
          <w:p w14:paraId="7683540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-Ciśnienie generowane min 250PSI </w:t>
            </w:r>
          </w:p>
          <w:p w14:paraId="273B23F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-Zasilanie sieciowe i akumulatorowe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FCE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7C7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E48CAC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999180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33F616B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BD8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F1E2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Tomograf wyposażony w UPS-y zapewniające minimum 10 minut podtrzymania pracy komputerów: tomografu i stacji lekarskiej w celu umożliwienia bezpiecznego zakończenia aplikacji, bez konieczności wykonywania resetu</w:t>
            </w:r>
          </w:p>
          <w:p w14:paraId="6C313F1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(podać dane odnośnie zaoferowanych UPS-ów)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6D5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57A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E626C7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0E8EFA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398CF99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07B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842D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Stacja dysków CD/DVD z możliwością zapisu badania pacjenta wraz z dograną przeglądarką obrazów DICOM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73C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C94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5BC363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078566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F41E520" w14:textId="77777777" w:rsidTr="009F38E5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C9F2" w14:textId="77777777" w:rsidR="003C402A" w:rsidRPr="003C402A" w:rsidRDefault="003C402A" w:rsidP="009F38E5">
            <w:pPr>
              <w:pStyle w:val="Akapitzlist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white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30069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  <w:highlight w:val="white"/>
              </w:rPr>
              <w:t>II Parametry techniczne</w:t>
            </w:r>
          </w:p>
        </w:tc>
        <w:tc>
          <w:tcPr>
            <w:tcW w:w="2884" w:type="dxa"/>
            <w:tcBorders>
              <w:left w:val="single" w:sz="4" w:space="0" w:color="000000"/>
            </w:tcBorders>
            <w:shd w:val="clear" w:color="auto" w:fill="auto"/>
          </w:tcPr>
          <w:p w14:paraId="5179486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4DBCC8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DF31BD8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028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98E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Tomograf komputerowy całego ciała, umożliwiający uzyskanie min. 128 warstw badanego obszaru w czasie jednego pełnego obrotu układu lampa-detektor, posiadający detektor minimum 64 rzędowy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E2E4" w14:textId="77777777" w:rsidR="003C402A" w:rsidRPr="003C402A" w:rsidRDefault="003C402A" w:rsidP="009F38E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t xml:space="preserve">64 rzędy - 0 pkt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br/>
              <w:t>wartość maksymalna  - 20 pkt.</w:t>
            </w:r>
          </w:p>
          <w:p w14:paraId="155D053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t xml:space="preserve">Pozostałe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lastRenderedPageBreak/>
              <w:t>proporcjonalnie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03C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EA63D5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A8AE7F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CB9C901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1120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C295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Pokrycie anatomiczne detektora min. 40 mm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8C5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F67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211E4F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388A89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23C0C95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254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FB636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Pochylanie gantry w zakresie min. ±28º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0FE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0C6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C098C1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54FD21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28D0760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8180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EF6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Średnica otworu gantry ≥ 70 cm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3B0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266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E3A135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505975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C765A51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F56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FA57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Udźwig stołu pacjenta min. 200 kg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A7B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9FC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F9F7B6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44D81B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A674D83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B38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6E0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Moduł synchronizacji akwizycji z zapisem EKG na gantry lub na statywie zewnętrznym</w:t>
            </w:r>
          </w:p>
          <w:p w14:paraId="0977F11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835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1F2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A745CD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1D1A061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1FD8B30" w14:textId="77777777" w:rsidTr="002A1202"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48D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7CE7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Wskaźnik informujące pacjenta o konieczności wstrzymania oddechu i możliwości wypuszczenia powietrza</w:t>
            </w:r>
          </w:p>
          <w:p w14:paraId="059F70E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A1BB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FDC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3016B4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87DED1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BF313E9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764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19FF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Kamera zintegrowana z gantry do obserwacji zachowań pacjenta lub w pomieszczeniu tomografu spełniająca taką samą funkcję jak zamontowana w gantry.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18D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 - 5 pkt</w:t>
            </w:r>
          </w:p>
          <w:p w14:paraId="7839C0D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Nie - 0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242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F7F54B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2E1CFF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FA0D5CC" w14:textId="77777777" w:rsidTr="002A1202"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B6C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923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Wyposażenie stołu:</w:t>
            </w:r>
          </w:p>
          <w:p w14:paraId="3E0932C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65" w:hanging="141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materac z osłoną chroniącą stół przed zalaniem płynami</w:t>
            </w:r>
          </w:p>
          <w:p w14:paraId="01EEA38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65" w:hanging="141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podgłówki do badania głowy</w:t>
            </w:r>
          </w:p>
          <w:p w14:paraId="3B03A58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65" w:hanging="141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podgłówek do pozycji na wznak</w:t>
            </w:r>
          </w:p>
          <w:p w14:paraId="15F28DE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65" w:hanging="141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pasy stabilizujące</w:t>
            </w:r>
          </w:p>
          <w:p w14:paraId="1539CD0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65" w:hanging="141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podpórka pod ramię, kolana i nogi</w:t>
            </w:r>
          </w:p>
          <w:p w14:paraId="657C3D2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165" w:hanging="141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uchwyt na rolkę na jednorazowe prześcieradło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3857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272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C4000B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E67CFF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53D5B91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20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7AA2" w14:textId="4B33FE0D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Rzeczywista moc generatora przy skanie jednoenergetycznym  ≥ 80 kW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56B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923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C71FDA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C1BE56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07BF75A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A2E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D1A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Minimalne napięcie anody, możliwe do zastosowania                    w protokołach badań ≤ 80 kV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1464" w14:textId="77777777" w:rsidR="003C402A" w:rsidRPr="003C402A" w:rsidRDefault="003C402A" w:rsidP="002765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≤ 70 kV – 5 pkt</w:t>
            </w:r>
          </w:p>
          <w:p w14:paraId="06FF0B8F" w14:textId="24A61509" w:rsidR="003C402A" w:rsidRPr="003C402A" w:rsidRDefault="003C402A" w:rsidP="002765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 &gt; 70 kV – 0pkt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2E8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7E42EF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7EA3EE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B56854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082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1B" w14:textId="2582DDC8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Maksymalne napięcie anody, możliwe do zastosowania               w protokołach badań ≥ 140 kV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71E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957E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448016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96AA55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45E630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B9E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B25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064CD05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4BE20C9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3A0A25BF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3256D3E6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480BEB4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Prąd lampy przy skanie jednoenergetycznym ≥ 600 mA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0300" w14:textId="77777777" w:rsidR="003C402A" w:rsidRPr="003C402A" w:rsidRDefault="003C402A" w:rsidP="00E100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t>&gt; 651 i więcej mA – 10 pkt</w:t>
            </w:r>
          </w:p>
          <w:p w14:paraId="27D5C24F" w14:textId="77777777" w:rsidR="003C402A" w:rsidRPr="003C402A" w:rsidRDefault="003C402A" w:rsidP="00E100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t>&gt; 626 do 650 mA włącznie - 5 pkt</w:t>
            </w:r>
          </w:p>
          <w:p w14:paraId="4E8C2A17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t>600 do 625 mA włącznie – 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829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69959E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419FF2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3469E3E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873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1EFF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Liczba możliwych nastaw kV ≥3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0A8F" w14:textId="7FA26BFB" w:rsidR="003C402A" w:rsidRPr="003C402A" w:rsidRDefault="003C402A" w:rsidP="00E100F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3 nastawy - 0pkt</w:t>
            </w: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br/>
              <w:t xml:space="preserve"> 4 nastawy– 5pkt</w:t>
            </w:r>
          </w:p>
          <w:p w14:paraId="4E48D568" w14:textId="77777777" w:rsidR="003C402A" w:rsidRPr="003C402A" w:rsidRDefault="003C402A" w:rsidP="00E100F6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≥ 5 nastaw – 10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DF3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693BC3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CA8656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4E0558F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A68A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B2D5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Rzeczywista pojemność cieplna anody lampy ≥ 7,0 MHU lub jej ekwiwalent w przypadku technologii chłodzenia innej niż klasyczna jeśli szybkość chłodzenia anody takiej konstrukcji jest większa niż 2500 kHU/min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5FC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63A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CCE025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63D9DEE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1E7F902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F4DD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98AD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Szybkość chłodzenia lampy  min. 1,0  MHU/min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0F3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BB0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726DEE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941F1D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696D2D5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A02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3375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Najkrótszy czas pełnego obrotu (360º ) układu lampa rtg – detektor  ≤ 0,35 s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FA0E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A9C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425F89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FBE678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BDF93C1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E39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B44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Rozdzielczość przestrzenna przy akwizycji co najmniej 64 nienakładających się warstw dla całego zakresu w kierunku osi Z nie gorsza niż 0,35 mm 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1B7A" w14:textId="3D8BDC2D" w:rsidR="003C402A" w:rsidRPr="003C402A" w:rsidRDefault="003C402A" w:rsidP="00E100F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˃0,30 mm – 0pkt</w:t>
            </w:r>
          </w:p>
          <w:p w14:paraId="5569F1AF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≤0,30 mm – 10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A2A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B92104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D882AD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95E97EE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284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265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Zakres przesuwu stołu umożliwiający skanowanie ≥ 170 cm</w:t>
            </w:r>
          </w:p>
          <w:p w14:paraId="3FFA573B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4FE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E4E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506F89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77B89B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3EE2B8D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619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FAA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Zakres badania spiralnego bez konieczności repozycjonowania pacjenta ≥ 170 cm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0BF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F66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33B2C0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013D56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482292A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B25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7FA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Maksymalne pole obrazowania FOV min. 50 cm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37E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A9A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90A294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5DDAEA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2311AE2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0AB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31B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Maksymalne, rekonstruowane pole obrazowania FOV [cm] min 50cm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3EA1" w14:textId="77777777" w:rsidR="003C402A" w:rsidRPr="003C402A" w:rsidRDefault="003C402A" w:rsidP="002765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50 [cm] – 0 pkt.</w:t>
            </w:r>
          </w:p>
          <w:p w14:paraId="09488337" w14:textId="77777777" w:rsidR="003C402A" w:rsidRPr="003C402A" w:rsidRDefault="003C402A" w:rsidP="002765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&gt;50 [cm] – 10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932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EC0CFA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5EC381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69CC973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16F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94F0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Maksymalna dostępna matryca rekonstrukcji obrazów: </w:t>
            </w: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br/>
              <w:t>≥ 1024x1024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C1C2" w14:textId="77777777" w:rsidR="003C402A" w:rsidRPr="003C402A" w:rsidRDefault="003C402A" w:rsidP="009F38E5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120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1B2AB18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E5AA5F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AC8F42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EB6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028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Algorytmy umożliwiający automatyczny dobór protokołów badania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81C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D0F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246995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976B9F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1D983054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313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7621" w14:textId="08D8CC03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Niskodawkowy, iteracyjny algorytm rekonstrukcji                             z wielokrotnym przetwarzaniem w obszarze danych surowych (RAW) i w obszarze obrazu, umożliwiający redukcję dawki o co najmniej 60% w relacji do standardowej metody FBP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A61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422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37DB9C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94D829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08B9A19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CCF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C1B7" w14:textId="15E4E2AD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Szybkość rekonstrukcji obrazów w czasie rzeczywistym z wykorzystaniem algorytmu iteracyjnego ≥ 20 obrazów/s, w rozdzielczości 512 x 512 pikseli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70B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9B7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9FEDC6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15B2448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1C3F7202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96E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3CB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Iteracyjny algorytm rekonstrukcji poprawiający jakość obrazu i rozdzielczość niskokontrastową np. SAFIRE, iDOSE. ASIR, AIDIR 3D lub inny odpowiednik nomenklatury producenta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0AA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72A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0C4486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51AB28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322084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7A8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C25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Zestaw niskodawkowych protokołów do badania wszystkich obszarów anatomicznych, z możliwością ich modyfikacji</w:t>
            </w:r>
          </w:p>
          <w:p w14:paraId="533F7FD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3AE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357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A10DAA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3A0993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EC96877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61F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E6D" w14:textId="30CE9216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Automatyczny raport dawki, tworzony przez system po zakończeniu badania, podający poziom dawki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w CTDIvol lub DLP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46DD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3CE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9BA359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7A5CD7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AF7CF77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633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B6FA" w14:textId="7FC7250A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993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D1B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DE4065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FD3C9F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85DB049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CDA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C164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Oprogramowanie z bezterminowymi licencjami do monitorowania i raportowania poziomu dawek  pozwalające na spełnienie dyrektywy EUROATOM 2013/59 z 5 grudnia 2013 roku.</w:t>
            </w:r>
          </w:p>
          <w:p w14:paraId="21EC3E8B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Oprogramowanie ma umożliwiać:</w:t>
            </w:r>
            <w:bookmarkStart w:id="0" w:name="__UnoMark__1584_3858413929"/>
            <w:bookmarkEnd w:id="0"/>
          </w:p>
          <w:p w14:paraId="40E60186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- analizę statystyczna poziomu dawek;</w:t>
            </w:r>
          </w:p>
          <w:p w14:paraId="5A21119C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-automatyczne powiadamianie w przypadku przekroczenia poziomu dopuszczalnych dawek;</w:t>
            </w:r>
          </w:p>
          <w:p w14:paraId="37098000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-przeglądanie historii dawki w rozbiciu na: pacjentów/regiony anatomiczne/rodzaje badań /osobę przeprowadzającą badanie/zmiany pracy zespołu pracowni TK (np. poranna, popołudniowa, wieczorna itd.);</w:t>
            </w:r>
          </w:p>
          <w:p w14:paraId="1028E89C" w14:textId="77777777" w:rsidR="003C402A" w:rsidRPr="003C402A" w:rsidRDefault="003C402A" w:rsidP="00E100F6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-automatyczne tygodniowe/ miesięczne/ roczne raporty dotyczące dawek w pracowni z danych zebranych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z aparatów z porównaniem tych danych dla określonej populacji;</w:t>
            </w:r>
          </w:p>
          <w:p w14:paraId="0C7061FF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C6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2955B07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249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E68A0C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EEBD52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66FB69C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095F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C43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Konsola operatorska z min. dwoma kolorowymi monitorami 19” lub jednym min. 24” </w:t>
            </w:r>
          </w:p>
          <w:p w14:paraId="214E9A7A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Stacja wyposażona w stół pod monitor(y) i klawiaturę oraz ergonomiczne siedzisko dla operatora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100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Za jeden  monitor 24” lub </w:t>
            </w:r>
            <w:r w:rsidRPr="003C402A">
              <w:rPr>
                <w:rFonts w:ascii="Arial" w:hAnsi="Arial" w:cs="Arial"/>
                <w:color w:val="000000" w:themeColor="text1"/>
                <w:sz w:val="18"/>
                <w:szCs w:val="18"/>
                <w:highlight w:val="white"/>
              </w:rPr>
              <w:t>więcej -20 pkt</w:t>
            </w:r>
          </w:p>
          <w:p w14:paraId="6245FC3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 w:themeColor="text1"/>
                <w:sz w:val="18"/>
                <w:szCs w:val="18"/>
                <w:highlight w:val="white"/>
              </w:rPr>
              <w:t>Za 2 monitory 19” -0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A6B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BAE9BE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4A0587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55C1CB8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5A8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07C5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Pojemność dostępnej bazy danych dla obrazów 512 x 512 pikseli  bez kompresji wyrażona ilością obrazów  niezależnie od przestrzeni dyskowej dla danych surowych [obrazów] ≥ 500 000 obrazów</w:t>
            </w:r>
          </w:p>
          <w:p w14:paraId="1501EDDB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A38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677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9C678F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E1B38B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022F4EF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6C770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F2A0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Interfejs sieciowy zgodnie z DICOM 3.0 </w:t>
            </w:r>
          </w:p>
          <w:p w14:paraId="22B19CE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t>z następującymi klasami serwisowymi: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br/>
              <w:t>- Send / Receive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br/>
              <w:t>- Basic Print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br/>
              <w:t xml:space="preserve">-  Query Retrieve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br/>
              <w:t>- Storage Commitment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br/>
              <w:t>- Worklist, MPPS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D77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A50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2884" w:type="dxa"/>
            <w:shd w:val="clear" w:color="auto" w:fill="auto"/>
          </w:tcPr>
          <w:p w14:paraId="582DC00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E2BC49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84C3B5A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415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F87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Identyczny wygląd interfejsu konsoli operatorskiej oraz stacji lekarskich, oprogramowanie od jednego producenta.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31D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D0D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9B02DC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6DA1B0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64B2E6D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DB0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E55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MIP (Maximum IntensityProjection)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812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E95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7C49CF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CC6EBA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FBF7E9A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CD6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14E0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t>VR (VRT ) (Volume Rendering Technique)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9AE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A5B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2884" w:type="dxa"/>
            <w:shd w:val="clear" w:color="auto" w:fill="auto"/>
          </w:tcPr>
          <w:p w14:paraId="24F1A1B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4D4B8B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8E41D40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BB4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6AC2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MPR(</w:t>
            </w:r>
            <w:r w:rsidRPr="003C402A"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  <w:t>multiplanar reformated reconstruction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77C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293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4C0FCD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AB18FB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E88FF49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070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5FA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Rekonstrukcje objętościowe z uzyskanych danych surowych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730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492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CB3474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4C3971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D6CC042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85D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29CF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Automatyczne powiadamiane obsługi tomografu, przez wyświetlenie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lastRenderedPageBreak/>
              <w:t>odpowiedniego komunikatu, o możliwości przekroczenia referencyjnej dawki promieniowania                           w danym badaniu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986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lastRenderedPageBreak/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909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27D1E5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50289C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D455919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6E7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471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437ED76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Oprogramowanie do synchronizacji startu badania spiralnego na podstawie automatycznej analizy napływu środka kontrastującego w zadanej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BF1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A6A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B9857D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E6E01B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5DE5CAD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D8B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CD02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Automatyczny dobór współczynnika pitch w celu osiągnięcia wybranego przez użytkownika pokrycia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i czasu skanowania, utrzymując wybraną grubość warstwy oraz jakość obrazu.</w:t>
            </w:r>
          </w:p>
          <w:p w14:paraId="0DE2881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97D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6AF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07891F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C84989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32AD67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3CC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6A27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Oprogramowanie do oceny zwapnień w ścianach naczyń wieńcowych (Calcium Score)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204E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 - 5 pkt</w:t>
            </w:r>
          </w:p>
          <w:p w14:paraId="0B04046A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Nie - 0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133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D2F6A5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F0E504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F590ACB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53D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68C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Automatyczne, bez udziału operatora, etykietowanie kręgów i ustawienie płaszczyzn rekonstrukcji kręgów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w badaniach kręgosłupa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14DB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 - 5 pkt</w:t>
            </w:r>
          </w:p>
          <w:p w14:paraId="04FFD8A0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Nie - 0 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150A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E02133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10A75AF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6D904A1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0AE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1A67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Dwa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 stanowiska lekarskie wyposażone w:</w:t>
            </w:r>
          </w:p>
          <w:p w14:paraId="2437B1E5" w14:textId="4A4164A0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2 kolorowe monitory diagnostyczne</w:t>
            </w:r>
            <w:r w:rsidR="002A1202">
              <w:rPr>
                <w:rFonts w:ascii="Arial" w:hAnsi="Arial" w:cs="Arial"/>
                <w:sz w:val="18"/>
                <w:szCs w:val="18"/>
                <w:highlight w:val="white"/>
              </w:rPr>
              <w:t xml:space="preserve"> (każde)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, o min. przekątnej 19” i rozdzielczości nie mniejszej niż 2 MP  </w:t>
            </w:r>
          </w:p>
          <w:p w14:paraId="07B054D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2 komputery PC, wyposażony w: min. 16 GB RAM, dysk HDD min. 250 GB, interfejs LAN 1 Gb, system Windows 10 Pro lub nowszy</w:t>
            </w:r>
          </w:p>
          <w:p w14:paraId="12B2995D" w14:textId="77777777" w:rsidR="003C402A" w:rsidRPr="003C402A" w:rsidRDefault="003C402A" w:rsidP="009F38E5">
            <w:pPr>
              <w:pStyle w:val="Akapitzlist"/>
              <w:widowControl w:val="0"/>
              <w:snapToGrid w:val="0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4A8B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Od 16GB Ram</w:t>
            </w:r>
          </w:p>
          <w:p w14:paraId="1AE29475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do 23 GB - 0 pkt</w:t>
            </w:r>
          </w:p>
          <w:p w14:paraId="01661DCE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  <w:lang w:eastAsia="pl-PL"/>
              </w:rPr>
              <w:t>≥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24 GB RAM i więcej-20 pkt</w:t>
            </w:r>
          </w:p>
          <w:p w14:paraId="45921E62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Dysk &lt;250GB, do 499 GB) – 0 pkt</w:t>
            </w:r>
          </w:p>
          <w:p w14:paraId="11A47870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&lt;500GB do 999 GB&gt; – 5 pkt</w:t>
            </w:r>
          </w:p>
          <w:p w14:paraId="6DAD0FAA" w14:textId="77777777" w:rsidR="003C402A" w:rsidRPr="003C402A" w:rsidRDefault="003C402A" w:rsidP="00E65F5F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1T i więcej – 10pkt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E8B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F71929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310640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F2FC579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69E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DCD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Interfejs sieciowy zgodnie z DICOM 3,0 z następującymi klasami serwisowymi:</w:t>
            </w:r>
          </w:p>
          <w:p w14:paraId="0DEE41BA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Query/Receive</w:t>
            </w:r>
          </w:p>
          <w:p w14:paraId="085C437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Print</w:t>
            </w:r>
          </w:p>
          <w:p w14:paraId="56948C8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Storage </w:t>
            </w:r>
          </w:p>
          <w:p w14:paraId="1BE043F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Storage – commitment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B05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411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19AF0E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017E16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2E2" w:rsidRPr="003C402A" w14:paraId="4CE415E8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8F73" w14:textId="77777777" w:rsidR="007C42E2" w:rsidRPr="003C402A" w:rsidRDefault="007C42E2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36B9" w14:textId="77777777" w:rsidR="007C42E2" w:rsidRPr="007C42E2" w:rsidRDefault="007C42E2" w:rsidP="007C42E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2E2">
              <w:rPr>
                <w:rFonts w:ascii="Arial" w:hAnsi="Arial" w:cs="Arial"/>
                <w:b/>
                <w:bCs/>
                <w:sz w:val="18"/>
                <w:szCs w:val="18"/>
              </w:rPr>
              <w:t>Rozbudowa licencji oprogramowania Serwera Archiwizacji PACS SRV</w:t>
            </w:r>
          </w:p>
          <w:p w14:paraId="4AA8401B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 xml:space="preserve">1 x licencja wielowolumenowa dla systemu SRV – rozbudowa archiwum Online do wielkości 80TB – aktualizacja oprogramowania ArPACS firmy Synektik </w:t>
            </w:r>
          </w:p>
          <w:p w14:paraId="33B0310A" w14:textId="77777777" w:rsidR="007C42E2" w:rsidRPr="007C42E2" w:rsidRDefault="007C42E2" w:rsidP="007C42E2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 xml:space="preserve">(rozbudowa licencji dla archiwum SRV Online o wielkość 40TB z przeniesieniem licencji dla danych obrazowych DICOM3.0 obecnie posiadanej przez Zamawiającego - 40TB) </w:t>
            </w:r>
          </w:p>
          <w:p w14:paraId="09560F53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1 x dostawa macierzy dyskowej RAID 6 – 12x8TB, min 2 kontrolery, połączenie FC</w:t>
            </w:r>
          </w:p>
          <w:p w14:paraId="45968997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1 x dostawa serwera bazodanowego (CPU min 2x2,1GHz-8Core, min 64GB RAM, min 4xHDD SSD min. 960 GB SAS RAID 10 hot swap , + 1 x spare, licencja Windows 2022 Serwer Standard PL z pokryciem licencyjnym procesorów), min 2 zasilacze, połączenie FC</w:t>
            </w:r>
          </w:p>
          <w:p w14:paraId="3B2946AA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 xml:space="preserve">1 x dostawa biblioteki LTO wraz z taśmami zapewniająca miejsce na pokrycie przestrzeni macierzowej oraz kopii baz danych systemu ARPACS </w:t>
            </w:r>
          </w:p>
          <w:p w14:paraId="3988B54F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UPS min 5 kv</w:t>
            </w:r>
          </w:p>
          <w:p w14:paraId="4CA07176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Integracja z infrastrukturą informatyczną, w tym montaż w szafach RACK</w:t>
            </w:r>
          </w:p>
          <w:p w14:paraId="422DACEF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 xml:space="preserve">Rekonfiguracja bazy danych Serwera Archiwizacji PACS SRV „online” </w:t>
            </w:r>
          </w:p>
          <w:p w14:paraId="6D502A55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Migracja danych obrazowych z obecnej macierzy</w:t>
            </w:r>
          </w:p>
          <w:p w14:paraId="3774F318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 xml:space="preserve">Rekonfiguracja komunikacji systemowej HL7 </w:t>
            </w:r>
          </w:p>
          <w:p w14:paraId="1C9EAF12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Urządzenia muszą wspierać i być kompatybilne z systemem ARPACS zamawiającego oraz pochodzić z dystrybucji na rynek Europejski</w:t>
            </w:r>
          </w:p>
          <w:p w14:paraId="0EAF06BB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Montaż typu RACK</w:t>
            </w:r>
          </w:p>
          <w:p w14:paraId="6BA1E875" w14:textId="77777777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lastRenderedPageBreak/>
              <w:t>Wszelkie podłączenia kablowe, światłowodowe wymagane do konfiguracji środowiska</w:t>
            </w:r>
          </w:p>
          <w:p w14:paraId="3D5FB702" w14:textId="5EF1DC6F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Wdrożenie, gwarancja na wykonane usługi 12 miesięcy oraz 36 miesięcy na dostarczony sprzęt serwerowy</w:t>
            </w:r>
          </w:p>
          <w:p w14:paraId="38EF2F5B" w14:textId="45CFE2A4" w:rsidR="007C42E2" w:rsidRPr="007C42E2" w:rsidRDefault="007C42E2" w:rsidP="007C42E2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7C42E2">
              <w:rPr>
                <w:rFonts w:ascii="Arial" w:hAnsi="Arial" w:cs="Arial"/>
                <w:sz w:val="18"/>
                <w:szCs w:val="18"/>
              </w:rPr>
              <w:t>Szkolenia dla administratorów systemu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8435" w14:textId="5448439F" w:rsidR="007C42E2" w:rsidRPr="003C402A" w:rsidRDefault="007C42E2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lastRenderedPageBreak/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D067" w14:textId="77777777" w:rsidR="007C42E2" w:rsidRPr="003C402A" w:rsidRDefault="007C42E2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CEBCF84" w14:textId="77777777" w:rsidR="007C42E2" w:rsidRPr="003C402A" w:rsidRDefault="007C42E2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D84DB76" w14:textId="77777777" w:rsidR="007C42E2" w:rsidRPr="003C402A" w:rsidRDefault="007C42E2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10F6995B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99A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A98A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naczyń wieńcowych</w:t>
            </w:r>
          </w:p>
          <w:p w14:paraId="7E67DA3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Automatyczna segmentacja przedsionków, komór, mięśnia sercowego, aorty i naczyń wieńcowych</w:t>
            </w:r>
          </w:p>
          <w:p w14:paraId="712C3E7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Analiza stenoz naczyń wieńcowych</w:t>
            </w:r>
          </w:p>
          <w:p w14:paraId="496508B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Pomiar min. średnicy naczynia, pola przekroju,</w:t>
            </w:r>
          </w:p>
          <w:p w14:paraId="440C11D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długość zwężenia, objętości</w:t>
            </w:r>
          </w:p>
          <w:p w14:paraId="1E15829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Wykrywanie blaszek miażdżycowych i ich etykietowanie</w:t>
            </w:r>
          </w:p>
          <w:p w14:paraId="3A4046C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Analiza składu blaszki miażdżycowej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262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6D6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497BE7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C72F38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26F8E75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FAD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1E0F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kardiologicznej:</w:t>
            </w:r>
          </w:p>
          <w:p w14:paraId="4412022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Automatyczna segmentacja przedsionków i komór L / R</w:t>
            </w:r>
          </w:p>
          <w:p w14:paraId="01E8C6A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Automatyczny pomiar wskaźników czynności serca, w tym min. frakcji wyrzutowej, objętości lewej komory</w:t>
            </w:r>
          </w:p>
          <w:p w14:paraId="5A1957D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Analiza bullseye</w:t>
            </w:r>
          </w:p>
          <w:p w14:paraId="194AEFC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Rejestracja wielofazowego ruchu serca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8F2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0B4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DF898D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150CADA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4B5D4D5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D25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BB35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naczyniowej:</w:t>
            </w:r>
          </w:p>
          <w:p w14:paraId="1E9CCB6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usuwanie struktur kostnych</w:t>
            </w:r>
          </w:p>
          <w:p w14:paraId="0033FE8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usuwanie kości głowy i szyi</w:t>
            </w:r>
          </w:p>
          <w:p w14:paraId="65B7EE7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Śledzenie naczyń i oznakowanie ciała, głowy i szyi</w:t>
            </w:r>
          </w:p>
          <w:p w14:paraId="5C43FCE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Edycja linii środkowej, w tym dodawanie, łączenie </w:t>
            </w: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br/>
              <w:t>i regulacja punktów kontrolnych</w:t>
            </w:r>
          </w:p>
          <w:p w14:paraId="37DC23C8" w14:textId="7C12BFB1" w:rsidR="003C402A" w:rsidRPr="003C402A" w:rsidRDefault="003C402A" w:rsidP="00E65F5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Pomiar wewnętrznej średnicy odcinka naczyniowego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834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098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A6CEFA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033224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9B59F11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B23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C2B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Funkcjonalności do oceny badań:</w:t>
            </w:r>
          </w:p>
          <w:p w14:paraId="1919E569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pomiary geometryczne (długości, kątów, powierzchni)</w:t>
            </w:r>
          </w:p>
          <w:p w14:paraId="1182BB7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pomiary analityczne (pomiar poziomu gęstości, histogramy, inne).</w:t>
            </w:r>
          </w:p>
          <w:p w14:paraId="5F5DD72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219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BF4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AE6979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B52FCB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EDFB4CE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3DE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4C0B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Prezentacje Cine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1C8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914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5A51EE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A9FC89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7272805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1C2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E478" w14:textId="1C16C69F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Rekonstrukcje MIP, VRT.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C19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6F6E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25A98B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8A08DF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4752DFB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6B0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3106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Reformatowanie wielopłaszczyznowe (MPR),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925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E14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9AF550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65E2318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111AC89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BCF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28B4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guzów płucnych:</w:t>
            </w:r>
          </w:p>
          <w:p w14:paraId="4C623F5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wykrywanie i zaznaczanie podejrzanych guzków</w:t>
            </w:r>
          </w:p>
          <w:p w14:paraId="7025683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Narzędzia do edycji konturu guzków.</w:t>
            </w:r>
          </w:p>
          <w:p w14:paraId="661BDDD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Automatyczny pomiar średnicy guzka, objętości, wartości CT itp .;</w:t>
            </w:r>
          </w:p>
          <w:p w14:paraId="561B906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Ocena porównań guzków między badaniami wyjściowymi i dalszymi u tego samego pacjenta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717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F5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E59F7D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C854E1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D384B9E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D810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C4EA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rozedmy płuc</w:t>
            </w:r>
          </w:p>
          <w:p w14:paraId="7EDC1C7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Ekstrakcja płata płucnego</w:t>
            </w:r>
          </w:p>
          <w:p w14:paraId="5D3C40A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Pomiar gęstości i objętości płuc</w:t>
            </w:r>
          </w:p>
          <w:p w14:paraId="6B88BDE6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Ocena ilościowa współczynnika rozedmy płuc</w:t>
            </w:r>
          </w:p>
          <w:p w14:paraId="77EA171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Pomiar powierzchni / średnicy ściany oskrzeli</w:t>
            </w:r>
          </w:p>
          <w:p w14:paraId="6A84B4F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Ilościowa analiza i eksport danych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E31E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B8E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0B99EC8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C0D170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75FECD1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D21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0F67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perfuzji mózgu:</w:t>
            </w:r>
          </w:p>
          <w:p w14:paraId="1204967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Analiza udaru mózgu</w:t>
            </w:r>
          </w:p>
          <w:p w14:paraId="550E42D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Automatyczna i ręczna segmentacja tkanek, definiowanie i edycja tętnic</w:t>
            </w:r>
          </w:p>
          <w:p w14:paraId="1F269DCD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obliczanie TDC w ROI</w:t>
            </w:r>
          </w:p>
          <w:p w14:paraId="278092B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Symetryczna analiza ROI</w:t>
            </w:r>
          </w:p>
          <w:p w14:paraId="0A888C9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obliczanie i pseudokolorowe wyświetlanie parametrów perfuzji mózgowej, w tym CBV, CBF, TTP, MTT i PS</w:t>
            </w:r>
          </w:p>
          <w:p w14:paraId="3386FD4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Pomiar i analiza statystyczna obszaru ROI, maks./min. wartości, wartości średnie itp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BCD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8B9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BEA6FD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BD0E14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7F6CD86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B6F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D011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Oprogramowanie do analizy perfuzji narządów:</w:t>
            </w:r>
          </w:p>
          <w:p w14:paraId="6F3EF2F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Automatyczna i ręczna segmentacja narządów / tkanek, tętnicy </w:t>
            </w: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lastRenderedPageBreak/>
              <w:t>wątrobowej i żyły wrotnej</w:t>
            </w:r>
          </w:p>
          <w:p w14:paraId="5CFAEE6D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obliczanie TDC</w:t>
            </w:r>
          </w:p>
          <w:p w14:paraId="2199B49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Automatyczne obliczanie i pseudokolorowe wyświetlanie parametrów perfuzji, w tym BV, BF, TTP, MTT, HPI itp</w:t>
            </w:r>
          </w:p>
          <w:p w14:paraId="20B1313D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Pomiar i analiza statystyczna obszaru ROI, maks./min. wartości, wartości średnie itp.</w:t>
            </w:r>
          </w:p>
          <w:p w14:paraId="48BAAFBA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402A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pl-PL"/>
              </w:rPr>
              <w:t>Korekcja ruchu i fuzja obrazu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3FB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lastRenderedPageBreak/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5FA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0E928C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1BCECF6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54EB265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6F3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3DAB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Automatyczne usuwanie struktur kostnych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z pozostawieniem wyłącznie zakontrastowanego drzewa naczyniowego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A00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851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37F749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1BA85EE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60EDC6B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8FAD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C886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Automatyczne usuwanie obrazu stołu z obrazów CT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8D0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2E6A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4BA643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DA24A7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8A65C7C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C905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779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Oprogramowanie do oceny badań onkologicznych CT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C81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A5D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9753B1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169888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C95F2B7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CD8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5F2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Automatyczna detekcja zmian guzkowych w miąższu płuc i podopłucnowych typu CAD.</w:t>
            </w:r>
          </w:p>
          <w:p w14:paraId="3AE75F9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Funkcjonalność realizowana w ramach tomografu lub dostępna na stacjach lekarskich.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15F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975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812C7D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3883CE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1911D9C5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2D2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D0E4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Oprogramowanie tego samego producenta, co zaoferowany system tomografu komputerowego. Oprogramowanie dostępne na wszystkich stacjach jednoczasowo.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A7D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14B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5DE66A2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B82EED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C17566D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1370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7AA3" w14:textId="6C9181F8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Automatyczny wstrzykiwacz kontrastu do tomografii komputerowej dwugłowicowy (sól fizjologiczna i kontrast)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A86B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  <w:p w14:paraId="25BEDC40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  <w:p w14:paraId="261452C0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5ED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9BF8A0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41EC92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A6E1CB1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601A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8A6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Zestaw fantomów wraz z oprogramowaniem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i podstawkami do umieszczenia fantomów w stole do wykonywania podstawowych testów kontroli jakości                              w  tomografii komputerowej zgodnie z aktualnie obowiązującym Rozporządzeniu Ministra Zdrowia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894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1AB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42AF77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F64005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AF1AC9B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7B4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4FD9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Oprogramowanie  umożliwiające ostrzeżenie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o przekroczeniu progu zdefiniowanej dawki, które:</w:t>
            </w:r>
          </w:p>
          <w:p w14:paraId="2AB917BE" w14:textId="74DD0D1C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ostrzega operatora w przypadku przekroczenia ustawionych limitów dawek pomaga zabezpieczyć pacjenta przed nadmiernym napromieniowaniem automatycznie tworzy raport pacjenta po każdym badaniu uniemożliwia dokonywania nieautoryzowanych zmian w protokołach skanowania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9AA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EA1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D82546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BEC151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3F0E271" w14:textId="77777777" w:rsidTr="009F38E5">
        <w:tc>
          <w:tcPr>
            <w:tcW w:w="97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79850" w14:textId="77777777" w:rsidR="003C402A" w:rsidRPr="003C402A" w:rsidRDefault="003C402A" w:rsidP="009F38E5">
            <w:pPr>
              <w:pStyle w:val="Akapitzlist"/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b/>
                <w:bCs/>
                <w:sz w:val="18"/>
                <w:szCs w:val="18"/>
                <w:highlight w:val="white"/>
              </w:rPr>
              <w:t xml:space="preserve">III  - </w:t>
            </w:r>
            <w:r w:rsidRPr="003C402A">
              <w:rPr>
                <w:rFonts w:ascii="Arial" w:hAnsi="Arial" w:cs="Arial"/>
                <w:b/>
                <w:sz w:val="18"/>
                <w:szCs w:val="18"/>
                <w:highlight w:val="white"/>
              </w:rPr>
              <w:t>Informacje dodatkowe – warunki gwarancji i serwisu</w:t>
            </w:r>
          </w:p>
        </w:tc>
        <w:tc>
          <w:tcPr>
            <w:tcW w:w="2884" w:type="dxa"/>
            <w:shd w:val="clear" w:color="auto" w:fill="auto"/>
          </w:tcPr>
          <w:p w14:paraId="0B1B256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B75DEC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33A9643" w14:textId="77777777" w:rsidTr="002A120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FAF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CCF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Szkolenie specjalistyczne dla lekarzy/techników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z obsługi systemu, aplikacji oraz wykonywania testów kontroli jakości na zaoferowanym aparacie, potwierdzone certyfikatami, co najmniej:</w:t>
            </w:r>
          </w:p>
          <w:p w14:paraId="2432CCCB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5 dni x 7 godz. po instalacji i uruchomieniu aparatu</w:t>
            </w:r>
          </w:p>
          <w:p w14:paraId="05A0544A" w14:textId="43D2D835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10 dni x 7 godz. w czasie trwania gwarancji z zakresu obsługi </w:t>
            </w: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br/>
              <w:t>i procedur wykonywanych na zaoferowanym aparacie,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570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621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435FA9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25DABAB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59A68A8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6BA0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8016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Oferowane urządzenie posiada dokumenty dopuszczające do obrotu na terenie RP i spełnia wymogi ustawy z dnia 20 maja 2010 r. o wyrobach medycznych.</w:t>
            </w:r>
          </w:p>
          <w:p w14:paraId="7392B736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Certyfikat CE</w:t>
            </w:r>
          </w:p>
          <w:p w14:paraId="5E8B900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Deklaracja zgodności</w:t>
            </w:r>
          </w:p>
          <w:p w14:paraId="51564F8B" w14:textId="6476FCF3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Zgłoszenie do Urzędu Rejestracji Produktów Leczniczych, Wyrobów Medycznych i Produktów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65FA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29E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79B1C9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4A5BEED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8994E73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D7B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436C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Okres gwarancji w miesiącach (wymagany minimum 24 miesięcy)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6C1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75F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CFC112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D2B7E4E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EA56B11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82FE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35B8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Czas podjęcia naprawy przez serwis max 48h od momentu zgłoszenia.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BFD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8506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49517B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56BA92FA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261CDCE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5AB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169E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Czas skutecznej naprawy bez użycia części zamiennych licząc od momentu zgłoszenia awarii – max 2 dni robocze rozumiane jako dni od poniedziałku do piątku z wyłączeniem dni ustawowo wolnych od pracy</w:t>
            </w:r>
          </w:p>
          <w:p w14:paraId="05CFA55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Czas skutecznej naprawy z użyciem części zamiennych licząc od momentu zgłoszenia awarii – max 3 dni robocze rozumiane jako dni od poniedziałku do piątku z wyłączeniem dni ustawowo wolnych od pracy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8F8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1BD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275FE78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73B002A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C804E4E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204B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A986" w14:textId="77777777" w:rsidR="003C402A" w:rsidRPr="003C402A" w:rsidRDefault="003C402A" w:rsidP="009F38E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Liczba napraw danego podzespołu lub jego części uprawniających  do wymiany podzespołu na nowy – maksymalnie 3 naprawy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501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ACF1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5C74A5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97B5BDE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ECF57FB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ED7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B922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Serwis na terenie Polski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FFD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 dane adresowe, tel, fax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385F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85A56C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0CBECD1C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FB50CDD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037D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9AF2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Dostępność części zamiennych po ustaniu produkcji zaoferowanego modelu (minimum)10 lat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E2C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E6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C1F3A0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50158B6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130EAFDD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76D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BD61" w14:textId="5F4CD173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Zdalna diagnostyka systemu za pośrednictwem łącza szerokopasmowego lub ISDN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EE1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60AC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2E436F5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C123F2E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405975BE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7758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3E71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Instalacja wraz z montażem oraz szkolenie w zakresie obsługi dla personelu medycznego w cenie oferty.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35D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3DB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6CEEAA68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1B0C4255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02E0FD23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E31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1CB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Skrócona instrukcja obsługi w języku polskim</w:t>
            </w:r>
          </w:p>
          <w:p w14:paraId="55540632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Instrukcja obsługi i instrukcja serwisowa w języku polskim lub angielskim.</w:t>
            </w:r>
          </w:p>
          <w:p w14:paraId="137EA015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Paszport techniczny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F907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729B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AE6A843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DD1C0DF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63F0A639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DE3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6FF4" w14:textId="210C005F" w:rsidR="003C402A" w:rsidRPr="003C402A" w:rsidRDefault="003C402A" w:rsidP="0027653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 xml:space="preserve">Wykonanie testów odbiorczych oraz testów specjalistycznych (w tym testów monitorów) po instalacji urządzenia dla oferowanego zestawu tomografu komputerowego zgodnie z aktualnie obowiązującym Rozporządzeniem Ministra Zdrowia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BAB4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8E2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4B67D39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92C4F72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241C3A97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C26F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C99E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Wykonanie projektu oraz obliczeń osłon stałych dla dostarczanego aparatu.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835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C138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053878C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627E58A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3870A38A" w14:textId="77777777" w:rsidTr="002A1202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7B9C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F7D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Integracja z systemem RIS/PACS użytkowanym przez Szpital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1F90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9CD9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1B62F9E4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19572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4A304269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18960E29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677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9B33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Dostawa aparatu 60 dni od podpisania umowy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EB072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Tak, podać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D2BD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70D887E1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DE1C02B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2A" w:rsidRPr="003C402A" w14:paraId="52BDC75D" w14:textId="77777777" w:rsidTr="002A12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FAE2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8E96" w14:textId="77777777" w:rsidR="003C402A" w:rsidRPr="003C402A" w:rsidRDefault="003C402A" w:rsidP="009F38E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Zakres prac adaptacyjnych:</w:t>
            </w:r>
          </w:p>
          <w:p w14:paraId="7B0CEC33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Prace niezbędne do prawidłowego funkcjonowania pracowni CT</w:t>
            </w:r>
          </w:p>
          <w:p w14:paraId="39CE6D51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dokumentacji ochrony radiologicznej (projektu osłon stałych przed promieniowaniem rtg pomieszczenia TK)</w:t>
            </w:r>
          </w:p>
          <w:p w14:paraId="3F44A1F4" w14:textId="77777777" w:rsidR="003C402A" w:rsidRPr="003C402A" w:rsidRDefault="003C402A" w:rsidP="009F38E5">
            <w:pPr>
              <w:pStyle w:val="Akapitzlist"/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40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Wykonawca wykona wszelkie inne pomiary, projekty, badania i oznakowanie pomieszczeń zgodnie z aktualnymi przepisami oraz przeprowadzi stosowne próby i odbiory na swój koszt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EC33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02A">
              <w:rPr>
                <w:rFonts w:ascii="Arial" w:hAnsi="Arial" w:cs="Arial"/>
                <w:sz w:val="18"/>
                <w:szCs w:val="18"/>
                <w:highlight w:val="white"/>
              </w:rP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4335" w14:textId="77777777" w:rsidR="003C402A" w:rsidRPr="003C402A" w:rsidRDefault="003C402A" w:rsidP="009F38E5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884" w:type="dxa"/>
            <w:shd w:val="clear" w:color="auto" w:fill="auto"/>
          </w:tcPr>
          <w:p w14:paraId="34762A90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14:paraId="344B95C7" w14:textId="77777777" w:rsidR="003C402A" w:rsidRPr="003C402A" w:rsidRDefault="003C402A" w:rsidP="009F4D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960CFB" w14:textId="77777777" w:rsidR="003C402A" w:rsidRPr="003C402A" w:rsidRDefault="003C402A" w:rsidP="003C402A">
      <w:pPr>
        <w:rPr>
          <w:rFonts w:ascii="Arial" w:hAnsi="Arial" w:cs="Arial"/>
          <w:sz w:val="18"/>
          <w:szCs w:val="18"/>
        </w:rPr>
      </w:pPr>
    </w:p>
    <w:p w14:paraId="787CDCFC" w14:textId="77777777" w:rsidR="003C402A" w:rsidRPr="003C402A" w:rsidRDefault="003C402A" w:rsidP="003C402A">
      <w:pPr>
        <w:rPr>
          <w:rFonts w:ascii="Arial" w:hAnsi="Arial" w:cs="Arial"/>
          <w:sz w:val="18"/>
          <w:szCs w:val="18"/>
        </w:rPr>
      </w:pPr>
    </w:p>
    <w:p w14:paraId="6936ADA6" w14:textId="77777777" w:rsidR="003C402A" w:rsidRPr="003C402A" w:rsidRDefault="003C402A" w:rsidP="003C402A">
      <w:pPr>
        <w:numPr>
          <w:ilvl w:val="0"/>
          <w:numId w:val="14"/>
        </w:numPr>
        <w:suppressAutoHyphens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 w:rsidRPr="003C402A">
        <w:rPr>
          <w:rFonts w:ascii="Arial" w:hAnsi="Arial" w:cs="Arial"/>
          <w:sz w:val="18"/>
          <w:szCs w:val="18"/>
        </w:rPr>
        <w:t xml:space="preserve">Zaoferowane powyżej parametry wymagane muszą być potwierdzone </w:t>
      </w:r>
      <w:r w:rsidRPr="003C402A">
        <w:rPr>
          <w:rFonts w:ascii="Arial" w:hAnsi="Arial" w:cs="Arial"/>
          <w:sz w:val="18"/>
          <w:szCs w:val="18"/>
        </w:rPr>
        <w:br/>
        <w:t>w dołączonych materiałach informacyjnych. Brak potwierdzenia któregokolwiek z parametrów spowoduje odrzucenie oferty.</w:t>
      </w:r>
    </w:p>
    <w:p w14:paraId="71B0AE1D" w14:textId="77777777" w:rsidR="003C402A" w:rsidRPr="003C402A" w:rsidRDefault="003C402A" w:rsidP="003C402A">
      <w:pPr>
        <w:numPr>
          <w:ilvl w:val="0"/>
          <w:numId w:val="14"/>
        </w:numPr>
        <w:suppressAutoHyphens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 w:rsidRPr="003C402A">
        <w:rPr>
          <w:rFonts w:ascii="Arial" w:hAnsi="Arial" w:cs="Arial"/>
          <w:color w:val="000000"/>
          <w:sz w:val="18"/>
          <w:szCs w:val="18"/>
        </w:rPr>
        <w:t xml:space="preserve">Szpital zastrzega sobie prawo weryfikacji deklarowanych parametrów </w:t>
      </w:r>
      <w:r w:rsidRPr="003C402A">
        <w:rPr>
          <w:rFonts w:ascii="Arial" w:hAnsi="Arial" w:cs="Arial"/>
          <w:color w:val="000000"/>
          <w:sz w:val="18"/>
          <w:szCs w:val="18"/>
        </w:rPr>
        <w:br/>
        <w:t>z użyciem wszelkich dostępnych źródeł, w tym zapytanie bezpośrednio u producenta sprzętu</w:t>
      </w:r>
      <w:r w:rsidRPr="003C402A">
        <w:rPr>
          <w:rFonts w:ascii="Arial" w:hAnsi="Arial" w:cs="Arial"/>
          <w:sz w:val="18"/>
          <w:szCs w:val="18"/>
        </w:rPr>
        <w:t>.</w:t>
      </w:r>
    </w:p>
    <w:p w14:paraId="2214958F" w14:textId="77777777" w:rsidR="003C402A" w:rsidRPr="003C402A" w:rsidRDefault="003C402A" w:rsidP="003C402A">
      <w:pPr>
        <w:numPr>
          <w:ilvl w:val="0"/>
          <w:numId w:val="14"/>
        </w:numPr>
        <w:suppressAutoHyphens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 w:rsidRPr="003C402A">
        <w:rPr>
          <w:rFonts w:ascii="Arial" w:hAnsi="Arial" w:cs="Arial"/>
          <w:sz w:val="18"/>
          <w:szCs w:val="18"/>
        </w:rPr>
        <w:t xml:space="preserve">Wykonawca zobowiązany jest do podania parametrów w jednostkach wskazanych w niniejszej tabeli. </w:t>
      </w:r>
    </w:p>
    <w:p w14:paraId="0ABA4EB7" w14:textId="77777777" w:rsidR="003C402A" w:rsidRPr="003C402A" w:rsidRDefault="003C402A" w:rsidP="003C402A">
      <w:pPr>
        <w:numPr>
          <w:ilvl w:val="0"/>
          <w:numId w:val="14"/>
        </w:numPr>
        <w:suppressAutoHyphens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 w:rsidRPr="003C402A">
        <w:rPr>
          <w:rFonts w:ascii="Arial" w:hAnsi="Arial" w:cs="Arial"/>
          <w:sz w:val="18"/>
          <w:szCs w:val="18"/>
        </w:rPr>
        <w:t>Oświadczamy, że przedstawione powyżej dane są prawdziwe oraz zobowiązujemy się w przypadku wygrania przetargu do dostarczenia aparatury medycznej spełniających wyspecyfikowane parametry.</w:t>
      </w:r>
    </w:p>
    <w:p w14:paraId="286A8C10" w14:textId="77777777" w:rsidR="003C402A" w:rsidRPr="003C402A" w:rsidRDefault="003C402A" w:rsidP="003C402A">
      <w:pPr>
        <w:numPr>
          <w:ilvl w:val="0"/>
          <w:numId w:val="14"/>
        </w:numPr>
        <w:suppressAutoHyphens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 w:rsidRPr="003C402A">
        <w:rPr>
          <w:rFonts w:ascii="Arial" w:hAnsi="Arial" w:cs="Arial"/>
          <w:sz w:val="18"/>
          <w:szCs w:val="18"/>
        </w:rPr>
        <w:t>Oświadczamy, że oferowany, powyżej wyspecyfikowany sprzęt jest kompletny i po zainstalowaniu będzie gotowy do eksploatacji, bez żadnych dodatkowych zakupów i inwestycji (poza typowymi, znormalizowanymi materiałami eksploatacyjnymi).</w:t>
      </w:r>
    </w:p>
    <w:p w14:paraId="1A8C0387" w14:textId="77777777" w:rsidR="003C402A" w:rsidRPr="003C402A" w:rsidRDefault="003C402A" w:rsidP="003C402A">
      <w:pPr>
        <w:rPr>
          <w:rFonts w:ascii="Arial" w:hAnsi="Arial" w:cs="Arial"/>
          <w:sz w:val="18"/>
          <w:szCs w:val="18"/>
        </w:rPr>
      </w:pPr>
    </w:p>
    <w:p w14:paraId="457D6E53" w14:textId="77FE4E60" w:rsidR="003C402A" w:rsidRPr="003C402A" w:rsidRDefault="003C402A" w:rsidP="00AA3849">
      <w:pPr>
        <w:ind w:left="5664" w:firstLine="708"/>
        <w:rPr>
          <w:rFonts w:ascii="Arial" w:hAnsi="Arial" w:cs="Arial"/>
          <w:sz w:val="18"/>
          <w:szCs w:val="18"/>
        </w:rPr>
      </w:pPr>
    </w:p>
    <w:p w14:paraId="7211AC1D" w14:textId="2B04BC76" w:rsidR="003C402A" w:rsidRPr="003C402A" w:rsidRDefault="003C402A" w:rsidP="00AA3849">
      <w:pPr>
        <w:ind w:left="5664" w:firstLine="708"/>
        <w:rPr>
          <w:rFonts w:ascii="Arial" w:hAnsi="Arial" w:cs="Arial"/>
          <w:sz w:val="18"/>
          <w:szCs w:val="18"/>
        </w:rPr>
      </w:pPr>
    </w:p>
    <w:p w14:paraId="6FBED24E" w14:textId="0696F991" w:rsidR="003C402A" w:rsidRPr="003C402A" w:rsidRDefault="003C402A" w:rsidP="00AA3849">
      <w:pPr>
        <w:ind w:left="5664" w:firstLine="708"/>
        <w:rPr>
          <w:rFonts w:ascii="Arial" w:hAnsi="Arial" w:cs="Arial"/>
          <w:sz w:val="18"/>
          <w:szCs w:val="18"/>
        </w:rPr>
      </w:pPr>
    </w:p>
    <w:p w14:paraId="68F0F3A2" w14:textId="7EBF8462" w:rsidR="003C402A" w:rsidRPr="003C402A" w:rsidRDefault="003C402A" w:rsidP="00AA3849">
      <w:pPr>
        <w:ind w:left="5664" w:firstLine="708"/>
        <w:rPr>
          <w:rFonts w:ascii="Arial" w:hAnsi="Arial" w:cs="Arial"/>
          <w:sz w:val="18"/>
          <w:szCs w:val="18"/>
        </w:rPr>
      </w:pPr>
    </w:p>
    <w:p w14:paraId="1446B172" w14:textId="77777777" w:rsidR="003C402A" w:rsidRPr="00AA3849" w:rsidRDefault="003C402A" w:rsidP="00AA3849">
      <w:pPr>
        <w:ind w:left="5664" w:firstLine="708"/>
        <w:rPr>
          <w:rFonts w:ascii="Arial" w:hAnsi="Arial" w:cs="Arial"/>
          <w:sz w:val="16"/>
          <w:szCs w:val="16"/>
        </w:rPr>
      </w:pPr>
    </w:p>
    <w:sectPr w:rsidR="003C402A" w:rsidRPr="00AA38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6B53" w14:textId="77777777" w:rsidR="007C2FD6" w:rsidRDefault="007C2FD6" w:rsidP="007C2FD6">
      <w:pPr>
        <w:spacing w:after="0" w:line="240" w:lineRule="auto"/>
      </w:pPr>
      <w:r>
        <w:separator/>
      </w:r>
    </w:p>
  </w:endnote>
  <w:endnote w:type="continuationSeparator" w:id="0">
    <w:p w14:paraId="15F799B0" w14:textId="77777777" w:rsidR="007C2FD6" w:rsidRDefault="007C2FD6" w:rsidP="007C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987990"/>
      <w:docPartObj>
        <w:docPartGallery w:val="Page Numbers (Bottom of Page)"/>
        <w:docPartUnique/>
      </w:docPartObj>
    </w:sdtPr>
    <w:sdtEndPr/>
    <w:sdtContent>
      <w:p w14:paraId="758D7B24" w14:textId="423B8B16" w:rsidR="007C2FD6" w:rsidRDefault="007C2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96DEF" w14:textId="77777777" w:rsidR="007C2FD6" w:rsidRDefault="007C2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BA00" w14:textId="77777777" w:rsidR="007C2FD6" w:rsidRDefault="007C2FD6" w:rsidP="007C2FD6">
      <w:pPr>
        <w:spacing w:after="0" w:line="240" w:lineRule="auto"/>
      </w:pPr>
      <w:r>
        <w:separator/>
      </w:r>
    </w:p>
  </w:footnote>
  <w:footnote w:type="continuationSeparator" w:id="0">
    <w:p w14:paraId="390DC846" w14:textId="77777777" w:rsidR="007C2FD6" w:rsidRDefault="007C2FD6" w:rsidP="007C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143048"/>
    <w:multiLevelType w:val="multilevel"/>
    <w:tmpl w:val="D2B4D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01597"/>
    <w:multiLevelType w:val="hybridMultilevel"/>
    <w:tmpl w:val="32CAE3F6"/>
    <w:lvl w:ilvl="0" w:tplc="78F6E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6AB3"/>
    <w:multiLevelType w:val="multilevel"/>
    <w:tmpl w:val="243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93E79"/>
    <w:multiLevelType w:val="multilevel"/>
    <w:tmpl w:val="C7A0BA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A2CFC"/>
    <w:multiLevelType w:val="multilevel"/>
    <w:tmpl w:val="F672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4B09"/>
    <w:multiLevelType w:val="multilevel"/>
    <w:tmpl w:val="DD9678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7BE699E"/>
    <w:multiLevelType w:val="multilevel"/>
    <w:tmpl w:val="3C3AF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4438E"/>
    <w:multiLevelType w:val="hybridMultilevel"/>
    <w:tmpl w:val="B67C65AC"/>
    <w:lvl w:ilvl="0" w:tplc="CAD63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EDA"/>
    <w:multiLevelType w:val="multilevel"/>
    <w:tmpl w:val="713680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075C30"/>
    <w:multiLevelType w:val="multilevel"/>
    <w:tmpl w:val="F4783E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2738D"/>
    <w:multiLevelType w:val="multilevel"/>
    <w:tmpl w:val="7548B84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054945"/>
    <w:multiLevelType w:val="multilevel"/>
    <w:tmpl w:val="2FB6A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29E4"/>
    <w:multiLevelType w:val="multilevel"/>
    <w:tmpl w:val="9DDA52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C146C"/>
    <w:multiLevelType w:val="multilevel"/>
    <w:tmpl w:val="746CE4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730646">
    <w:abstractNumId w:val="2"/>
  </w:num>
  <w:num w:numId="2" w16cid:durableId="1308434552">
    <w:abstractNumId w:val="8"/>
  </w:num>
  <w:num w:numId="3" w16cid:durableId="201097036">
    <w:abstractNumId w:val="0"/>
  </w:num>
  <w:num w:numId="4" w16cid:durableId="1271469221">
    <w:abstractNumId w:val="11"/>
  </w:num>
  <w:num w:numId="5" w16cid:durableId="1145046914">
    <w:abstractNumId w:val="1"/>
  </w:num>
  <w:num w:numId="6" w16cid:durableId="604459213">
    <w:abstractNumId w:val="7"/>
  </w:num>
  <w:num w:numId="7" w16cid:durableId="122693108">
    <w:abstractNumId w:val="13"/>
  </w:num>
  <w:num w:numId="8" w16cid:durableId="1151216917">
    <w:abstractNumId w:val="14"/>
  </w:num>
  <w:num w:numId="9" w16cid:durableId="1011034029">
    <w:abstractNumId w:val="9"/>
  </w:num>
  <w:num w:numId="10" w16cid:durableId="1213617640">
    <w:abstractNumId w:val="12"/>
  </w:num>
  <w:num w:numId="11" w16cid:durableId="2098206924">
    <w:abstractNumId w:val="4"/>
  </w:num>
  <w:num w:numId="12" w16cid:durableId="2068524785">
    <w:abstractNumId w:val="10"/>
  </w:num>
  <w:num w:numId="13" w16cid:durableId="409354682">
    <w:abstractNumId w:val="5"/>
  </w:num>
  <w:num w:numId="14" w16cid:durableId="1213737977">
    <w:abstractNumId w:val="6"/>
  </w:num>
  <w:num w:numId="15" w16cid:durableId="1804272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40"/>
    <w:rsid w:val="00024C86"/>
    <w:rsid w:val="00052A43"/>
    <w:rsid w:val="000C6D99"/>
    <w:rsid w:val="000E6487"/>
    <w:rsid w:val="00113861"/>
    <w:rsid w:val="00276535"/>
    <w:rsid w:val="002A1202"/>
    <w:rsid w:val="00317F3F"/>
    <w:rsid w:val="003C402A"/>
    <w:rsid w:val="00410790"/>
    <w:rsid w:val="00511C5D"/>
    <w:rsid w:val="0052555F"/>
    <w:rsid w:val="005A6EB5"/>
    <w:rsid w:val="005E1CB8"/>
    <w:rsid w:val="00650631"/>
    <w:rsid w:val="00741260"/>
    <w:rsid w:val="00761073"/>
    <w:rsid w:val="007B7D1C"/>
    <w:rsid w:val="007C2FD6"/>
    <w:rsid w:val="007C42E2"/>
    <w:rsid w:val="00810F17"/>
    <w:rsid w:val="009242BE"/>
    <w:rsid w:val="009C33C5"/>
    <w:rsid w:val="009F38E5"/>
    <w:rsid w:val="00AA3849"/>
    <w:rsid w:val="00AD49D0"/>
    <w:rsid w:val="00BB63A1"/>
    <w:rsid w:val="00BD1A7B"/>
    <w:rsid w:val="00C16D05"/>
    <w:rsid w:val="00C269B9"/>
    <w:rsid w:val="00C37006"/>
    <w:rsid w:val="00CD35FE"/>
    <w:rsid w:val="00DE6E31"/>
    <w:rsid w:val="00E100F6"/>
    <w:rsid w:val="00E50E84"/>
    <w:rsid w:val="00E65F5F"/>
    <w:rsid w:val="00F616A8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19B5"/>
  <w15:chartTrackingRefBased/>
  <w15:docId w15:val="{2EF557AF-D8FB-4D44-A661-52F76876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C6D99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C6D99"/>
    <w:pPr>
      <w:keepNext/>
      <w:numPr>
        <w:ilvl w:val="5"/>
        <w:numId w:val="1"/>
      </w:numPr>
      <w:suppressAutoHyphens/>
      <w:spacing w:after="0" w:line="240" w:lineRule="auto"/>
      <w:ind w:left="0" w:right="-921" w:firstLine="0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3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3A1"/>
    <w:rPr>
      <w:color w:val="605E5C"/>
      <w:shd w:val="clear" w:color="auto" w:fill="E1DFDD"/>
    </w:rPr>
  </w:style>
  <w:style w:type="paragraph" w:customStyle="1" w:styleId="Standard">
    <w:name w:val="Standard"/>
    <w:rsid w:val="00052A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C6D9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C6D9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3C402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unhideWhenUsed/>
    <w:rsid w:val="007C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FD6"/>
  </w:style>
  <w:style w:type="paragraph" w:styleId="Stopka">
    <w:name w:val="footer"/>
    <w:basedOn w:val="Normalny"/>
    <w:link w:val="StopkaZnak"/>
    <w:uiPriority w:val="99"/>
    <w:unhideWhenUsed/>
    <w:rsid w:val="007C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2022-05-31T13:23:00Z</cp:lastPrinted>
  <dcterms:created xsi:type="dcterms:W3CDTF">2022-05-31T13:17:00Z</dcterms:created>
  <dcterms:modified xsi:type="dcterms:W3CDTF">2022-05-31T15:12:00Z</dcterms:modified>
</cp:coreProperties>
</file>