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val="pl-PL" w:eastAsia="pl-PL" w:bidi="ar-SA"/>
        </w:rPr>
        <w:t>Załącznik nr 1- Przedmiot zamówienia na zestawy do chirurgii kręgosłupa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val="pl-PL" w:eastAsia="pl-PL" w:bidi="ar-SA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/>
      </w:r>
    </w:p>
    <w:tbl>
      <w:tblPr>
        <w:tblW w:w="15297" w:type="dxa"/>
        <w:jc w:val="left"/>
        <w:tblInd w:w="-290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539"/>
        <w:gridCol w:w="7559"/>
        <w:gridCol w:w="898"/>
        <w:gridCol w:w="1620"/>
        <w:gridCol w:w="1439"/>
        <w:gridCol w:w="3"/>
        <w:gridCol w:w="1256"/>
        <w:gridCol w:w="3"/>
        <w:gridCol w:w="716"/>
        <w:gridCol w:w="3"/>
        <w:gridCol w:w="1259"/>
      </w:tblGrid>
      <w:tr>
        <w:trPr/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LP.</w:t>
            </w:r>
          </w:p>
        </w:tc>
        <w:tc>
          <w:tcPr>
            <w:tcW w:w="7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NAZWA ARTYKUŁU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ILOŚĆ KPL.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NR KATALO-GOWY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 xml:space="preserve">CENA NETTO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ZA KOMPLET</w:t>
            </w:r>
          </w:p>
        </w:tc>
        <w:tc>
          <w:tcPr>
            <w:tcW w:w="12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WARTOŚĆ NETTO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% VAT</w:t>
            </w:r>
          </w:p>
        </w:tc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WARTOŚĆ BRUTTO</w:t>
            </w:r>
          </w:p>
        </w:tc>
      </w:tr>
      <w:tr>
        <w:trPr/>
        <w:tc>
          <w:tcPr>
            <w:tcW w:w="539" w:type="dxa"/>
            <w:tcBorders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1.</w:t>
            </w:r>
          </w:p>
        </w:tc>
        <w:tc>
          <w:tcPr>
            <w:tcW w:w="7559" w:type="dxa"/>
            <w:tcBorders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Zestaw do stabilizacji transpedikularnej - złamania Th-L-S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 xml:space="preserve">- materiał tytan, 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wielokątowe, samogwintujące śruby tulipanowe lub haki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walcowy kształt gwintu,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ujemny kąt natarcia pióra gwintu elementu blokującego oraz gniazda śruby (haka) ułatwiający wprowadzanie elementu blokującego i zwiększający pewność docisku,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łączniki poprzecznie mocowane wielokątowo do pręta, bez konieczności doginania elementów łącznika,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system oparty na prętach o średnicach 4,5mm, 5,5mm oraz powyżej 6,2 mm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system mocowania śruby do pręta otwarty od góry i oparty na jednym elemencie gwintowanym blokująco-zabezpieczającym,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mechanizm blokowania umożliwiający jednoznaczne i trwałe blokowanie oraz możliwość rewizyjnego usunięcia implantów (zrywana nakrętka lub klucz dynamometryczny)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średnica śrub od 4,5 mm do 8,5 mm ze skokiem co 1 mm,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średnica łba śruby wraz z kompletnym elementem blokująco-zabezpieczającym nie może przekraczać 13 mm,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wysokość implantów wraz z kompletnym elementem blokująco-zabezpieczającym nie przekracza 5 mm ponad pręt,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możliwość stosowania prętów 5,5mm wykonanych z CoCr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możliwość stosowania śrub do podciągania kręgozmyków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KOMPLET: 4 śruby/haki, 4 blokery, 2 pręty, 1 poprzeczka, 2 pręty CoCr</w:t>
            </w:r>
          </w:p>
        </w:tc>
        <w:tc>
          <w:tcPr>
            <w:tcW w:w="898" w:type="dxa"/>
            <w:tcBorders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fr-FR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fr-FR" w:eastAsia="pl-PL" w:bidi="ar-SA"/>
              </w:rPr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59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719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62" w:type="dxa"/>
            <w:gridSpan w:val="2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2.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Klatki międzytrzonowe typu TLIF / PLIF do 36mm</w:t>
            </w:r>
          </w:p>
          <w:p>
            <w:pPr>
              <w:pStyle w:val="Normal"/>
              <w:tabs>
                <w:tab w:val="clear" w:pos="720"/>
                <w:tab w:val="left" w:pos="162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pl-PL" w:eastAsia="pl-PL" w:bidi="ar-SA"/>
              </w:rPr>
              <w:t>- prostokątny przekrój i implantu w płaszczyźnie osiowej</w:t>
            </w:r>
          </w:p>
          <w:p>
            <w:pPr>
              <w:pStyle w:val="Normal"/>
              <w:tabs>
                <w:tab w:val="clear" w:pos="720"/>
                <w:tab w:val="left" w:pos="162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pl-PL" w:eastAsia="pl-PL" w:bidi="ar-SA"/>
              </w:rPr>
              <w:t>- przekrój klatki w płaszczyźnie strzałkowej klinowo – obły, z zaokrągloną przednią częścią klatki w celu jej łatwego wprowadzenia bez konieczności stosowania wstępnej dystrakcji czy obrotu klatki</w:t>
            </w:r>
          </w:p>
          <w:p>
            <w:pPr>
              <w:pStyle w:val="Normal"/>
              <w:tabs>
                <w:tab w:val="clear" w:pos="720"/>
                <w:tab w:val="left" w:pos="1629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pl-PL" w:eastAsia="pl-PL" w:bidi="ar-SA"/>
              </w:rPr>
              <w:t>- powierzchnia klatek ząbkowana, niesymetryczna w celu blokady przed samoistnym wysunięciem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lang w:val="pl-PL" w:bidi="ar-SA"/>
              </w:rPr>
              <w:t>- rozmiary klatek: wysokość od 8-16 mm, w min. 4 długościach z zakresu od  22 mm do 36 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lang w:val="pl-PL" w:bidi="ar-SA"/>
              </w:rPr>
              <w:t>- implant posiada przestrzeń możliwą do wypełnienia wiórem kostnym lub substytutem kości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lang w:val="pl-PL" w:bidi="ar-SA"/>
              </w:rPr>
              <w:t>- możliwość zastosowania w technice TLIF oraz PLIF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lang w:val="pl-PL" w:bidi="ar-SA"/>
              </w:rPr>
              <w:t xml:space="preserve">- w zestawie narzędzia do przygotowania przestrzeni międzykręgowej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lang w:val="pl-PL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KOMPLET: 1 implant międzytrzonowy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3.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Implant międzytrzonowy odcinka szyjnego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 xml:space="preserve">- odporność na urazy mechaniczne – materiał PEEK 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anatomiczny kształt implantu umożliwiający odtworzenie naturalnej krzywizny kręgosłupa szyjnego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ząbkowana powierzchnia klatki bez wystających elementów lub z dodatkowymi kolcami mocującymi (do wyboru)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obecność znaczników radiologicznych (min 3) w celu oceny jego położenia po implantacji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 xml:space="preserve">- trzy szerokości klatki 14mm, 16mm, 18mm oraz trzy głębokości 11mm, 14mm i 16mm 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 xml:space="preserve">- wysokości klatki 4, 5, 6, 7, 8, 9 mm 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 xml:space="preserve">- instrumentarium pozwalające na przygotowanie gniazda odwzorowującego kształt implantu w celu jego precyzyjnego osadzenia 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 xml:space="preserve">- mocowanie implantu do uchwytu poprzez gwintowany otwór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KOMPLET: 1 klatka, 1 wypełnienie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4.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Zestaw do stabilizacji szczytowo – potylicznej - przegubowe, bez konieczności doginania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śruby tulipanowe wieloosiowe samogwintujące o min. trzech średnicach z zakresu 3,5 mm – 4,5 mm, dł. od 10 mm – 52 mm stopniowane nie więcej niż co 5 mm z zakresem ruchomości powyżej 45 stopni,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w zestawie śruby wieloosiowe z gwintem tylko na części ich dł.,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śruby korowe w sr. 4,0 mm i 4,5 mm, dł. od 6 mm – 12 mm stopniowane nie więcej niż co 2 mm,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możliwość kątowego ustawienia śruby względem pręta,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śruby i haki o tulipanowym kształcie połączenia z prętem,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montaż pręta od haków i śrub jednym elementem blokującym,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implanty otwarte od góry i blokowane wyłącznie od góry,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pręty dopasowane do anatomii pogranicza potyliczno-szyjnego z możliwością zmiany kąta wygięcia,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pręty o gr. nie większej niż 3,4 mm z możliwością łączenia z prętami używanymi w odcinku piersiowo-lędźwiowym,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w zestawie dostępne otwarte łączniki boczne odsadzone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w zestawie pręty przegubowe umożliwiające dostosowanie (bez konieczności doginania pręta) do anatomii pacjenta „in situ”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w zestawie płyta potyliczna z obracanymi uchwytami na pręt co ułatwia montaż oraz umożliwia lepsze zredukowanie naprężeń własnych konstrukcji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możliwość połączenia dwóch prętów o różnych średnicach bez użycia dodatkowych elementów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KOMPLET: 4 śruby/haki, 4 śruby potyliczne, 6 blokerów, 2 pręty, 1 płyta potyliczna, 1 łącznik poprzeczny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5.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Żel antyzrostowy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żel utrudniający adhezję blizny okołooponowej do worka oponowego oraz korzeni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nerwowych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opak. 3 ml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żel umieszczony w strzykawce, co ułatwia użycie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lang w:val="pl-PL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KOMPLET: 1 opakowanie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6.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Zestaw do stabilizacji transpedikularnej kręgosłupa z możliwością podania cementu kostnego z możliwością dostępu standardowego, przezskórnego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możliwość użycia systemu z dostępu standardowego, małoinwazyjnego i przezskórnego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wielokątowe, samogwintujące, kaniulowane śruby tulipanowe z walcowatym trzpieniem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ujemny kąt natarcia pióra gwintu elementu blokującego oraz gniazda śruby, ułatwiający wprowadzenie elementu blokującego i zwiększający pewność docisku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system mocowania śruby do pręta otwarty (patrząc z punktu widzenia operatora) i oparty na jednym elemencie blokująco-zabezpieczającym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mechanizm blokowania umożliwiający jednoznaczne i trwałe blokowanie oraz możliwość rewizyjnego usunięcia implantów (zrywana nakrętka lub klucz dynamometryczny)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średnica śrub od 5,5 mm do 7,5 mm ze skokiem co 1 mm, średnica pręta 5,5 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średnica łba śruby wraz z kompletnym elementem blokująco - zabezpieczającym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nie może przekracza 13 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wysokość  implantów wraz z kompletnym elementem blokująco-zabezpieczającym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nie może przekracza 5 mm ponad pręt,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dostępne śruby pozwalające na wprowadzenie cementu kostnego do trzonu kręgu (posiadają min 2 otwory przelotowe zlokalizowane przy czubku trzpienia)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lang w:val="pl-PL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KOMPLET: 6 śrub, 6 blokerów, 2 pręty, 1 poprzeczka, 1 cement, 1 mikser, 6 śrubokrętów jednorazowych, 8 podajników do cementu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7.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System do przezskórnej stabilizacji transpedikularnej - z możliwością stabilizacji &gt;3 kręgów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wielokątowe, samogwintujące, kaniulowane śruby tulipanowe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walcowy kształt trzpienia śruby,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ujemny kąt natarcia pióra gwintu elementu blokującego oraz gniazda śruby, ułatwiający wprowadzenie elementu blokującego i zwiększający pewność docisku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pręt o grubości 5,5 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system mocowania śruby do pręta otwarty (patrząc z punktu widzenia operatora) i oparty na jednym elemencie blokująco-zabezpieczającym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mechanizm blokowania umożliwiający jednoznaczne i trwałe blokowanie oraz możliwość rewizyjnego usunięcia implantów (zrywana nakrętka lub klucz dynamometryczny)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średnica śrub od 5,5 mm do 7,5 mm ze skokiem co 1 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pręty o długości od 30 do 180 mm, zaostrzone na końcach w celu łatwiejszej implantacji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średnica łba śruby wraz z kompletnym elementem blokująco – zabezpieczającym nie może przekraczać 13 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wysokość  implantów wraz z kompletnym elementem blokująco-zabezpieczającym  nie może przekracza 5 mm ponad pręt,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możliwość zaopatrzenia min. 6 kolejnych kręgów,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w zestawie musi znajdować się narządzie, które przy zaopatrywaniu dwóch lub trzech kręgów zapewni automatyczne ustalenie trajektorii pręta w stosunku do położenia śrub, co pozwoli na jednoznaczne i pewne zamocowanie pręta w tulipanie śruby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w zestawie musi znajdować się narządzie umożliwiające sprawdzenie czy pręt jest prawidłowo umieszczony w śrubie,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system umożliwia kontrolowaną redukcję kręgozmyków min. o 12 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KOMPLET: 4 śruby, 4 blokery, 2 pręty, 1 igła dostępowa, 4 druty prowadniki, 1 światłowód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4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4"/>
                <w:lang w:eastAsia="pl-PL" w:bidi="ar-SA"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8.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Klatki międzytrzonowe odcinka lędźwiowego kręgosłupa implantowane z dostępu przedniego, przednio bocznego i bocznego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klatka o kształcie nieregularnym odwzorowującym obrys trzonu lędźwiowego lub o prostokątnym przekroju w płaszczyźnie osiowej (do wyboru)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obły charakter implantu w płaszczyźnie czołowej,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możliwość napełnienia wiórem kostnym,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powierzchnia klatki ząbkowana,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możliwość mocowania oraz wprowadzania implantu z kierunku przedniego (płaszczyzna strzałkowa) oraz pod kątem 30 i 45 oraz 90 stopni w stosunku do płaszczyzny strzałkowej,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wysokość klatek od 8mm do 16mm stopniowane co 2mm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możliwość implantacji implantu z dostępu typu ALIF, OLIF, DLIF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w zestawie długie narzędzia, ułatwiające przygotowanie przestrzeni między trzonami do implantacji,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dostępny ramowy (rama dostępna w wersji eliptycznej i okrągłej) retraktor, którego łopatki są mocowane bezpośrednio do trzonów za pomocą pinów o długościach 120mm lub 170mm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KOMPLET: 1 klatka międzytrzonowa ALIF, 1 klatka międzytrzonowa OLIF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9.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Substytuty kostne</w:t>
            </w:r>
          </w:p>
          <w:p>
            <w:pPr>
              <w:pStyle w:val="Normal"/>
              <w:tabs>
                <w:tab w:val="clear" w:pos="720"/>
                <w:tab w:val="left" w:pos="7797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l-PL" w:bidi="ar-SA"/>
              </w:rPr>
              <w:t>- substytut kości w postaci granulek lub pasków</w:t>
            </w:r>
          </w:p>
          <w:p>
            <w:pPr>
              <w:pStyle w:val="Normal"/>
              <w:tabs>
                <w:tab w:val="clear" w:pos="720"/>
                <w:tab w:val="left" w:pos="7797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l-PL" w:bidi="ar-SA"/>
              </w:rPr>
              <w:t>- możliwość mieszania z materiałem pochodzącym od chorego</w:t>
            </w:r>
          </w:p>
          <w:p>
            <w:pPr>
              <w:pStyle w:val="Normal"/>
              <w:tabs>
                <w:tab w:val="clear" w:pos="720"/>
                <w:tab w:val="left" w:pos="7797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l-PL" w:bidi="ar-SA"/>
              </w:rPr>
              <w:t>- skład 15% hydroksyapatyt, 85% beta trójfosforan wapnia</w:t>
            </w:r>
          </w:p>
          <w:p>
            <w:pPr>
              <w:pStyle w:val="Normal"/>
              <w:tabs>
                <w:tab w:val="clear" w:pos="720"/>
                <w:tab w:val="left" w:pos="7797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l-PL" w:bidi="ar-SA"/>
              </w:rPr>
              <w:t>- gotowy do użycia</w:t>
            </w:r>
          </w:p>
          <w:p>
            <w:pPr>
              <w:pStyle w:val="Normal"/>
              <w:tabs>
                <w:tab w:val="clear" w:pos="720"/>
                <w:tab w:val="left" w:pos="7797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l-PL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KOMPLET: 1 pasek 10cm, 1 op. z dwoma paskami 10cm, 1 op. granulek 5cc, 1 op. granulek 10cc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10.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Zestaw do plastyki i cementowania złamanych trzonów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Zestaw do kyfoplastyki sterylnie zapakowany, jednorazowy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W skład zestawu wchodzą:  2 szt. igieł trepanobiopsyjnych (do nakłucia trzonu),1 szt. prowadnicy, 2 szt. balonów ortopedycznych (do odtworzenia wysokości trzonu), 2 strzykawki do napełniania balonów,6 szt. igieł do podawania cementu.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 xml:space="preserve">- Dostępna kiureta do przygotowania loży pod balon o co najmniej 3 stopniach regulacji 1 szt.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Balony o długościach 10 mm , 15 mm, 20 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Zestaw do pompowania balonów wyposażony w manometr elektroniczny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 xml:space="preserve">- Min. 3 rodzaje cementu do wyboru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Opcjonalnie dostępny zestaw z balonami rozprężającymi się kierunkowo oraz igła do podawania cementu umożliwiająca kontrolowanie kierunku podawania cementu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Zestaw do wertebroplastyki jednorazowy, sterylnie zapakowany, zawierający pistolet do podawania cementu (długość przewodu 120 cm), dwa pojemniki na cement i igłę dostępową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KOMPLET: 1 zestaw do kyfoplastyki, 1 zestaw do wertebroplastyki, 1 cement z mikserem, 1 igła, 1 igła biopsyjna, 1 pistolet do cementu, 1 komplet pojemników na cement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11.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Zestaw do plastyki złamanych trzonów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 xml:space="preserve">- materiał tytan,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 xml:space="preserve">- przekrój poprzeczny okrągły lub owalny,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kosze dostępne w  5 średnica 10mm, 13mm, 16mm, 19mm, 25mm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w zestawie narzędzia do docięcia koszy do wymaganej długości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KOMPLET: 1 kosz, 2 płytki graniczne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12.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Zestaw łączników do stabilizacji kręgosłupa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materiał tytan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kompatybilność z prętami o średnicy 4,5mm, 5,5mm oraz 6,35 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w zestawie łączniki typu domino obustronnie zamknięte, jednostronnie otwarte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umożliwiające wydłużenie konstrukcji bez zdejmowania pręta, w zestawie łączniki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umożliwiające jednoosiowe połączenie prętów,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-wszystkie łączniki umożliwiają zespolenie prętów o tej samej średnicy oraz o różnych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średnicach (5,5mm z 6,35mm, oraz 5,5mm z 4,5mm)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KOMPLET: 2 łączniki, 4 blokery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539" w:type="dxa"/>
            <w:tcBorders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13.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Zestaw do stabilizacji krzyżowo - biodrowej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system posiada możliwość zastosowania bloków krzyżowych (2 śruby wkręcane w kość krzyżową) lub bloków krzyżowo-biodrowych (2 śruby wkręcane w kość krzyżową oraz 1 śruba wkręcana w talerz biodrowy)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materiał tytan oraz stal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kształt otworów w blokach krzyżowych wymusza odpowiednią trajektorię wprowadzanych śrub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śruby wprowadzane w kość krzyżową w min. 2 średnicach o długościach od 35 do 70 stopniowane max co 5 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możliwość rozszerzenia stabilizacji na część lędźwiową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- system oparty na pręcie o średnicy 5,5mm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KOMPLET: 2 bloki krzyżowo biodrowe, 2 łączniki pręta, 6 blokerów, 6 śrub krzyżowo biodrowych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  <w:t>14.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Płyta szyjna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l-PL" w:bidi="ar-SA"/>
              </w:rPr>
              <w:t>- materiał tytan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l-PL" w:bidi="ar-SA"/>
              </w:rPr>
              <w:t>- długość płytki 19-90 mm, skok długości, co max. 3 mm, od 90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l-PL" w:bidi="ar-SA"/>
              </w:rPr>
              <w:t>mm - 110 mm co 5 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l-PL" w:bidi="ar-SA"/>
              </w:rPr>
              <w:t>- śruby samogwintujące i samonawiercające się ( 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l-PL" w:bidi="ar-SA"/>
              </w:rPr>
              <w:t>wymagające nawiercania korówki) - dostępne w dwóch średnicach (4mm i 4,5mm)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l-PL" w:bidi="ar-SA"/>
              </w:rPr>
              <w:t>- automatyczne blokowanie śrub zintegrowane z płytką oraz z możliwością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l-PL" w:bidi="ar-SA"/>
              </w:rPr>
              <w:t>powtórzeń, nie powodujące zwiększenia profilu płytki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l-PL" w:bidi="ar-SA"/>
              </w:rPr>
              <w:t>- długości śrub samogwintujących od 11 – 19 mm, samonawiercające od 11 – 15 mm ze skokiem max. co 2 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l-PL" w:bidi="ar-SA"/>
              </w:rPr>
              <w:t>- wymagana możliwość zmiany wygięcia płytki (lordoza, kifoza) bez utraty możliwości blokady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l-PL" w:bidi="ar-SA"/>
              </w:rPr>
              <w:t>- blokada wkręta musi pozwalać na jej łatwe rewizyjne usunięcie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l-PL" w:bidi="ar-SA"/>
              </w:rPr>
              <w:t>- płyta niskoprofilowa o wysokości poniżej 2,7 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l-PL" w:bidi="ar-SA"/>
              </w:rPr>
              <w:t>- dwa rodzaje śrub, umożliwiające stałe lub wielokątowe ustawienie wobec płytki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l-PL" w:bidi="ar-SA"/>
              </w:rPr>
              <w:t>- możliwość wprowadzenia i blokowania wkrętów na każdym stabilizowanym poziomie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l-PL" w:bidi="ar-SA"/>
              </w:rPr>
              <w:t>- w zestawie piny umożliwiające wstępne mocowanie płytki na powierzchni trzonów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l-PL" w:bidi="ar-SA"/>
              </w:rPr>
              <w:t>- instrumentarium (wkrętaki, gwintowniki, uchwyt) posiadające rączki zakończone powierzchnią silikonową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val="pl-PL" w:bidi="ar-SA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pl-PL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KOMPLET: 1 płyta, 4 śruby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RAZEM</w:t>
            </w:r>
          </w:p>
        </w:tc>
        <w:tc>
          <w:tcPr>
            <w:tcW w:w="7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  <w:t>8%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</w:tr>
      <w:tr>
        <w:trPr>
          <w:cantSplit w:val="true"/>
        </w:trPr>
        <w:tc>
          <w:tcPr>
            <w:tcW w:w="1205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right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  <w:lang w:val="pl-PL" w:eastAsia="pl-PL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val="pl-PL" w:eastAsia="pl-PL" w:bidi="ar-SA"/>
        </w:rPr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1077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en-US" w:eastAsia="en-US" w:bidi="he-I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kern w:val="0"/>
      <w:sz w:val="22"/>
      <w:szCs w:val="22"/>
      <w:lang w:val="en-US" w:eastAsia="en-US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372493"/>
    <w:rPr/>
  </w:style>
  <w:style w:type="character" w:styleId="Pagenumber">
    <w:name w:val="page number"/>
    <w:basedOn w:val="DefaultParagraphFont"/>
    <w:semiHidden/>
    <w:qFormat/>
    <w:rsid w:val="0037249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FooterChar"/>
    <w:uiPriority w:val="99"/>
    <w:semiHidden/>
    <w:unhideWhenUsed/>
    <w:rsid w:val="00372493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LibreOffice/6.4.5.2$Windows_X86_64 LibreOffice_project/a726b36747cf2001e06b58ad5db1aa3a9a1872d6</Application>
  <Pages>6</Pages>
  <Words>1791</Words>
  <Characters>10475</Characters>
  <CharactersWithSpaces>12102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2021-09-24T10:10:00Z</dcterms:created>
  <dc:creator>Nowak, Paulina</dc:creator>
  <dc:description/>
  <dc:language>pl-PL</dc:language>
  <cp:lastModifiedBy/>
  <dcterms:modified xsi:type="dcterms:W3CDTF">2021-09-29T11:16:54Z</dcterms:modified>
  <cp:revision>6</cp:revision>
  <dc:subject/>
  <dc:title/>
</cp:coreProperties>
</file>