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ListParagraph"/>
        <w:rPr>
          <w:rFonts w:ascii="Calibri" w:hAnsi="Calibri"/>
          <w:b/>
          <w:sz w:val="22"/>
          <w:szCs w:val="22"/>
        </w:rPr>
      </w:pPr>
      <w:r>
        <w:rPr>
          <w:rFonts w:ascii="Arial" w:hAnsi="Arial"/>
          <w:b/>
          <w:sz w:val="24"/>
          <w:szCs w:val="22"/>
        </w:rPr>
        <w:t>Z</w:t>
      </w:r>
      <w:r>
        <w:rPr>
          <w:rFonts w:ascii="Arial" w:hAnsi="Arial"/>
          <w:b/>
          <w:sz w:val="24"/>
          <w:szCs w:val="22"/>
        </w:rPr>
        <w:t>ałącznik nr 1 do zaproszenia</w:t>
      </w:r>
      <w:r>
        <w:rPr>
          <w:rFonts w:ascii="Calibri" w:hAnsi="Calibri"/>
          <w:b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Serwer – 2 szt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72"/>
        <w:gridCol w:w="5"/>
        <w:gridCol w:w="1569"/>
        <w:gridCol w:w="2"/>
        <w:gridCol w:w="7015"/>
      </w:tblGrid>
      <w:tr>
        <w:trPr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LP</w:t>
            </w:r>
          </w:p>
        </w:tc>
        <w:tc>
          <w:tcPr>
            <w:tcW w:w="1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Parametr lub warunek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Minimalne wymagania</w:t>
            </w:r>
          </w:p>
        </w:tc>
      </w:tr>
      <w:tr>
        <w:trPr>
          <w:trHeight w:val="658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</w:t>
            </w:r>
          </w:p>
        </w:tc>
        <w:tc>
          <w:tcPr>
            <w:tcW w:w="1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Obudowa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-Typu Rack, wysokość max. 2U;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-Dostarczona wraz z szynami umożliwiającymi pełne wysunięcie serwera z szafy rack;</w:t>
            </w:r>
          </w:p>
        </w:tc>
      </w:tr>
      <w:tr>
        <w:trPr>
          <w:trHeight w:val="956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Płyta główna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-Dwuprocesorowa, wyprodukowana i zaprojektowana przez producenta serwera, możliwość instalacji procesorów dziesięciordzeniowych;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-Minimum 6 złącz PCI Express, w tym minimum 3 złącza o prędkości i typie złącza minimum PCI Express x16 generacji 3;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-Minimum 2 sloty dla dysków M.2 na płycie głównej nie zajmujące klatek dla dysków hot-plug; (Możliwość integracji dedykowanej, wewnętrznej pamięci flash przeznaczonej dla wirtualizatora w slocie M.2 bez zajmowania klatek dyskowych serwera)</w:t>
            </w:r>
          </w:p>
        </w:tc>
      </w:tr>
      <w:tr>
        <w:trPr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3</w:t>
            </w:r>
          </w:p>
        </w:tc>
        <w:tc>
          <w:tcPr>
            <w:tcW w:w="1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Procesory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"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-Zainstalowany minimum jeden procesor 8-rdzeniowy w architekturze x86 osiągające wynik w testach wydajności SPECint_rate_base2006 min. 710 pkt  dla dowolnej platformy dwuprocesorowej producenta serwera który jest oferowany w postępowaniu przez oferenta. Wymagamy aby był załączony PDF ze strony spec.org i poświadczony przez producenta serwera oferowanego w postępowaniu maszyny dwuprocesorowej producenta zaoferowanego serwera;</w:t>
            </w:r>
          </w:p>
        </w:tc>
      </w:tr>
      <w:tr>
        <w:trPr>
          <w:trHeight w:val="1394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4</w:t>
            </w:r>
          </w:p>
        </w:tc>
        <w:tc>
          <w:tcPr>
            <w:tcW w:w="1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Pamięć RAM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"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-Zainstalowane 64 GB pamięci RAM DDR4 Registered typu 2666Mhz</w:t>
            </w:r>
            <w:r>
              <w:rPr>
                <w:rFonts w:cs="Arial" w:ascii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cs="Arial" w:ascii="Calibri" w:hAnsi="Calibri"/>
                <w:color w:val="000000"/>
                <w:sz w:val="22"/>
                <w:szCs w:val="22"/>
              </w:rPr>
              <w:t>w kościach o pojemności 8 lub 16 GB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-Wsparcie dla technologii zabezpieczania pamięci Advanced ECC, Memory Scrubbing, SDDC;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-12 gniazd pamięci RAM na płycie głównej, obsługa minimum 384 GB pamięci RAM;</w:t>
            </w:r>
          </w:p>
        </w:tc>
      </w:tr>
      <w:tr>
        <w:trPr>
          <w:trHeight w:val="700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Kontrolery dyskowe, I/O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-Zainstalowany kontroler SAS 3.0 RAID 0,1,5,6,50,60, 2GB pamięci podręcznej cache, obsługujący 16 dysków wewnętrznych;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-Możliwość wyposażenia w nieulotną pamięć cache;</w:t>
            </w:r>
          </w:p>
        </w:tc>
      </w:tr>
      <w:tr>
        <w:trPr>
          <w:trHeight w:val="701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Dyski twarde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-Zainstalowane 4 dyski SAS 3.0 o pojemności 600GB każdy, 10k RPM dyski Hotplug;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-Minimum 4 wnęki dla dysków twardych Hotplug 3,5;</w:t>
            </w:r>
          </w:p>
        </w:tc>
      </w:tr>
      <w:tr>
        <w:trPr>
          <w:trHeight w:val="428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8</w:t>
            </w:r>
          </w:p>
        </w:tc>
        <w:tc>
          <w:tcPr>
            <w:tcW w:w="1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Kontrolery LAN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"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-Wbudowana w płytę główną karta 2x1Gbit/s ze wsparciem iSCSI, niezajmująca slotu PCI Express;</w:t>
            </w:r>
          </w:p>
        </w:tc>
      </w:tr>
      <w:tr>
        <w:trPr>
          <w:trHeight w:val="213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9</w:t>
            </w:r>
          </w:p>
        </w:tc>
        <w:tc>
          <w:tcPr>
            <w:tcW w:w="1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Kontrolery I/O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Nie dotyczy</w:t>
            </w:r>
          </w:p>
        </w:tc>
      </w:tr>
      <w:tr>
        <w:trPr>
          <w:trHeight w:val="420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10</w:t>
            </w:r>
          </w:p>
        </w:tc>
        <w:tc>
          <w:tcPr>
            <w:tcW w:w="1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Porty</w:t>
            </w:r>
          </w:p>
        </w:tc>
        <w:tc>
          <w:tcPr>
            <w:tcW w:w="7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-zintegrowana karta graficzna ze złączem VGA;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-7x USB 3.0, w tym minimum 2 na panelu przednim, minimum 1 wewnętrzne;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-Możliwość rozbudowy o port RS-232;</w:t>
            </w:r>
          </w:p>
        </w:tc>
      </w:tr>
      <w:tr>
        <w:trPr>
          <w:cantSplit w:val="false"/>
        </w:trPr>
        <w:tc>
          <w:tcPr>
            <w:tcW w:w="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11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Zasilanie, chłodzenie</w:t>
            </w: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-Redundantne zasilacze hotplug o </w:t>
            </w:r>
            <w:r>
              <w:rPr>
                <w:rFonts w:cs="Arial" w:ascii="Calibri" w:hAnsi="Calibri"/>
                <w:color w:val="000000"/>
                <w:sz w:val="22"/>
                <w:szCs w:val="22"/>
              </w:rPr>
              <w:t>sprawności 94%</w:t>
            </w:r>
            <w:r>
              <w:rPr>
                <w:rFonts w:cs="Arial" w:ascii="Calibri" w:hAnsi="Calibri"/>
                <w:sz w:val="22"/>
                <w:szCs w:val="22"/>
              </w:rPr>
              <w:t xml:space="preserve"> (tzw klasa Platinum) o mocy maksymalnej 450W;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-Redundantne wentylatory; </w:t>
            </w:r>
          </w:p>
        </w:tc>
      </w:tr>
      <w:tr>
        <w:trPr>
          <w:trHeight w:val="2400" w:hRule="atLeast"/>
          <w:cantSplit w:val="false"/>
        </w:trPr>
        <w:tc>
          <w:tcPr>
            <w:tcW w:w="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Zarządzanie</w:t>
            </w: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-Wbudowane diody informacyjne informujące o stanie serwera</w:t>
            </w:r>
          </w:p>
          <w:p>
            <w:pPr>
              <w:pStyle w:val="Default"/>
              <w:jc w:val="both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-Zintegrowany z płytą główną serwera kontroler sprzętowy zdalnego zarządzania zgodny z IPMI 2.0 o funkcjonalnościach: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Niezależny od systemu operacyjnego, sprzętowy kontroler umożliwiający pełne zarządzanie, zdalny restart serwera;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Dedykowana karta LAN 1 Gb/s  (dedykowane złącze RJ-45 z tyłu obudowy) do komunikacji wyłącznie z kontrolerem zdalnego zarządzania z możliwością przeniesienia tej komunikacji na inną kartę sieciową współdzieloną z systemem operacyjnym;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Dostęp poprzez przeglądarkę Web (także SSL, SSH)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Zarządzanie mocą i jej zużyciem oraz monitoring zużycia energii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Zarządzanie alarmami (zdarzenia poprzez SNMP)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Możliwość przejęcia konsoli tekstowej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Przekierowanie konsoli graficznej na poziomie sprzętowym oraz możliwość montowania zdalnych napędów i ich obrazów na poziomie sprzętowym (cyfrowy KVM)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Sprzętowy monitoring serwera w tym stanu dysków twardych i kontrolera RAID (bez pośrednictwa agentów systemowych)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itd.).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both"/>
              <w:rPr>
                <w:rFonts w:cs="Arial" w:ascii="Calibri" w:hAnsi="Calibri"/>
                <w:sz w:val="22"/>
                <w:szCs w:val="22"/>
                <w:lang w:eastAsia="ar-SA"/>
              </w:rPr>
            </w:pPr>
            <w:r>
              <w:rPr>
                <w:rFonts w:cs="Arial" w:ascii="Calibri" w:hAnsi="Calibri"/>
                <w:sz w:val="22"/>
                <w:szCs w:val="22"/>
                <w:lang w:eastAsia="ar-SA"/>
              </w:rPr>
              <w:t>Dedykowana, wbudowana w kartę zarządzającą pamięć flash o pojemności minimum 16 GB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both"/>
              <w:rPr>
                <w:rFonts w:cs="Arial" w:ascii="Calibri" w:hAnsi="Calibri"/>
                <w:sz w:val="22"/>
                <w:szCs w:val="22"/>
                <w:lang w:eastAsia="ar-SA"/>
              </w:rPr>
            </w:pPr>
            <w:r>
              <w:rPr>
                <w:rFonts w:cs="Arial" w:ascii="Calibri" w:hAnsi="Calibri"/>
                <w:sz w:val="22"/>
                <w:szCs w:val="22"/>
                <w:lang w:eastAsia="ar-SA"/>
              </w:rPr>
              <w:t>Rozwiązanie musi umożliwiać instalację obrazów systemów, własnych narzędzi diagnostycznych  w obrębie dostarczonej dedykowanej pamięci (pojemność dostępna dla obrazów własnych – minimum  8,5GB);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both"/>
              <w:rPr>
                <w:rFonts w:cs="Arial" w:ascii="Calibri" w:hAnsi="Calibri"/>
                <w:sz w:val="22"/>
                <w:szCs w:val="22"/>
                <w:lang w:eastAsia="ar-SA"/>
              </w:rPr>
            </w:pPr>
            <w:r>
              <w:rPr>
                <w:rFonts w:cs="Arial" w:ascii="Calibri" w:hAnsi="Calibri"/>
                <w:sz w:val="22"/>
                <w:szCs w:val="22"/>
                <w:lang w:eastAsia="ar-SA"/>
              </w:rPr>
              <w:t>Możliwość zdalnej naprawy systemu operacyjnego uszkodzonego przez użytkownika, działanie wirusów i szkodliwego oprogramowania;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both"/>
              <w:rPr>
                <w:rFonts w:cs="Arial" w:ascii="Calibri" w:hAnsi="Calibri"/>
                <w:sz w:val="22"/>
                <w:szCs w:val="22"/>
                <w:lang w:eastAsia="ar-SA"/>
              </w:rPr>
            </w:pPr>
            <w:r>
              <w:rPr>
                <w:rFonts w:cs="Arial" w:ascii="Calibri" w:hAnsi="Calibri"/>
                <w:sz w:val="22"/>
                <w:szCs w:val="22"/>
                <w:lang w:eastAsia="ar-SA"/>
              </w:rPr>
              <w:t xml:space="preserve">Możliwość zdalnej reinstalacji systemu lub aplikacji z obrazów zainstalowanych w obrębie dedykowanej pamięci flash bez użytkowania zewnętrznych nośników lub kopiowania danych poprzez sieć LAN;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both"/>
              <w:rPr>
                <w:rFonts w:cs="Arial" w:ascii="Calibri" w:hAnsi="Calibri"/>
                <w:sz w:val="22"/>
                <w:szCs w:val="22"/>
                <w:lang w:eastAsia="ar-SA"/>
              </w:rPr>
            </w:pPr>
            <w:r>
              <w:rPr>
                <w:rFonts w:cs="Arial" w:ascii="Calibri" w:hAnsi="Calibri"/>
                <w:sz w:val="22"/>
                <w:szCs w:val="22"/>
                <w:lang w:eastAsia="ar-SA"/>
              </w:rPr>
              <w:t>Możliwość konfiguracji i wykonania aktualizacji BIOS, Firmware, sterowników serwera bezpośrednio z GUI (graficzny interfejs) karty zarządzającej serwera bez pośrednictwa innych nośników zewnętrznych i wewnętrznych poza obrębem karty zarządzającej (w szczególności bez pendrive, dysków twardych wewn. i zewn., itp.) – możliwość manualnego wykonania aktualizacji jak również możliwość automatyzacji;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both"/>
              <w:rPr>
                <w:rFonts w:cs="Arial" w:ascii="Calibri" w:hAnsi="Calibri"/>
                <w:sz w:val="22"/>
                <w:szCs w:val="22"/>
                <w:lang w:eastAsia="ar-SA"/>
              </w:rPr>
            </w:pPr>
            <w:r>
              <w:rPr>
                <w:rFonts w:cs="Arial" w:ascii="Calibri" w:hAnsi="Calibri"/>
                <w:sz w:val="22"/>
                <w:szCs w:val="22"/>
                <w:lang w:eastAsia="ar-SA"/>
              </w:rPr>
              <w:t>Rozwiązanie musi umożliwiać konfigurację i uruchomienie automatycznego powiadomienia serwisu o zbliżającej się lub istniejącej usterce serwera (co najmniej dyski twarde, zasilacze, pamięć RAM, procesory, wentylatory, kontrolery RAID, karty rozszerzeń);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both"/>
              <w:rPr>
                <w:rFonts w:cs="Arial" w:ascii="Calibri" w:hAnsi="Calibri"/>
                <w:sz w:val="22"/>
                <w:szCs w:val="22"/>
                <w:lang w:eastAsia="ar-SA"/>
              </w:rPr>
            </w:pPr>
            <w:r>
              <w:rPr>
                <w:rFonts w:cs="Arial" w:ascii="Calibri" w:hAnsi="Calibri"/>
                <w:sz w:val="22"/>
                <w:szCs w:val="22"/>
                <w:lang w:eastAsia="ar-SA"/>
              </w:rPr>
              <w:t>Możliwość zapisu i przechowywania informacji i logów o pełnym stanie maszyny, w tym usterki i sytuacje krytyczne w obrębie wbudowanej pamięci karty zarządzającej -  dostęp do tych informacji musi być niezależny od stanu włączenia serwera oraz stanu sprzętowego w tym np. usterki elementów poza kartą zarządzającą;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both"/>
              <w:rPr>
                <w:rFonts w:cs="Arial" w:ascii="Calibri" w:hAnsi="Calibri"/>
                <w:sz w:val="22"/>
                <w:szCs w:val="22"/>
                <w:lang w:eastAsia="ar-SA"/>
              </w:rPr>
            </w:pPr>
            <w:r>
              <w:rPr>
                <w:rFonts w:cs="Arial" w:ascii="Calibri" w:hAnsi="Calibri"/>
                <w:sz w:val="22"/>
                <w:szCs w:val="22"/>
                <w:lang w:eastAsia="ar-SA"/>
              </w:rPr>
              <w:t xml:space="preserve">karta zarządzająca musi </w:t>
            </w:r>
            <w:r>
              <w:rPr>
                <w:rFonts w:cs="Arial" w:ascii="Calibri" w:hAnsi="Calibri"/>
                <w:sz w:val="22"/>
                <w:szCs w:val="22"/>
              </w:rPr>
              <w:t>umożliwiać</w:t>
            </w:r>
            <w:r>
              <w:rPr>
                <w:rFonts w:cs="Arial" w:ascii="Calibri" w:hAnsi="Calibri"/>
                <w:sz w:val="22"/>
                <w:szCs w:val="22"/>
                <w:lang w:eastAsia="ar-SA"/>
              </w:rPr>
              <w:t xml:space="preserve"> konfiguracj</w:t>
            </w:r>
            <w:r>
              <w:rPr>
                <w:rFonts w:cs="Arial" w:ascii="Calibri" w:hAnsi="Calibri"/>
                <w:sz w:val="22"/>
                <w:szCs w:val="22"/>
              </w:rPr>
              <w:t>ę</w:t>
            </w:r>
            <w:r>
              <w:rPr>
                <w:rFonts w:cs="Arial" w:ascii="Calibri" w:hAnsi="Calibr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Calibri" w:hAnsi="Calibri"/>
                <w:sz w:val="22"/>
                <w:szCs w:val="22"/>
              </w:rPr>
              <w:t>i uruchomienie</w:t>
            </w:r>
            <w:r>
              <w:rPr>
                <w:rFonts w:cs="Arial" w:ascii="Calibri" w:hAnsi="Calibri"/>
                <w:sz w:val="22"/>
                <w:szCs w:val="22"/>
                <w:lang w:eastAsia="ar-SA"/>
              </w:rPr>
              <w:t xml:space="preserve"> automatycznego informowania autoryzowanego serwisu producenta serwera o zaistniałej lub zbliżającej się usterce (wymagana jest możliwość automatycznego otworzenia zgłoszenia serwisowego w systemie producenta serwera). Jeżeli są wymagane jakiekolwiek dodatkowe licencje lub pakiety serwisowe potrzebne do uruchomienia automatycznego powiadamiania autoryzowanego serwisu o usterce należy takie elementy wliczyć do oferty – czas trwania minimum równy dla wymaganego okresu gwarancji producenta serwera;</w:t>
            </w:r>
          </w:p>
          <w:p>
            <w:pPr>
              <w:pStyle w:val="Default"/>
              <w:jc w:val="both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</w:tr>
      <w:tr>
        <w:trPr>
          <w:trHeight w:val="270" w:hRule="atLeast"/>
          <w:cantSplit w:val="false"/>
        </w:trPr>
        <w:tc>
          <w:tcPr>
            <w:tcW w:w="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Wspierane OS</w:t>
            </w: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Default"/>
              <w:rPr>
                <w:rFonts w:ascii="Calibri" w:hAnsi="Calibri"/>
                <w:color w:val="00000A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  <w:lang w:val="en-US"/>
              </w:rPr>
              <w:t>-Windows 2019, Windows 2016, Windows 2012 R2, VMWare, Suse, RHEL</w:t>
            </w:r>
          </w:p>
          <w:p>
            <w:pPr>
              <w:pStyle w:val="Default"/>
              <w:rPr>
                <w:rFonts w:ascii="Calibri" w:hAnsi="Calibri"/>
                <w:color w:val="00000A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  <w:lang w:val="en-US"/>
              </w:rPr>
              <w:t>Wraz z serwerem należy dostarczyć licencję Windows Server 2019 Standard lub równoważną wraz z pięcioma licencjami dostępowymi CAL na urządzenie.</w:t>
            </w:r>
          </w:p>
        </w:tc>
      </w:tr>
      <w:tr>
        <w:trPr>
          <w:trHeight w:val="419" w:hRule="atLeast"/>
          <w:cantSplit w:val="false"/>
        </w:trPr>
        <w:tc>
          <w:tcPr>
            <w:tcW w:w="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  <w:lang w:val="en-US"/>
              </w:rPr>
            </w:pPr>
            <w:r>
              <w:rPr>
                <w:rFonts w:cs="Arial" w:ascii="Calibri" w:hAnsi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Gwarancja</w:t>
            </w:r>
          </w:p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5 lata gwarancji producenta serwera w trybie onsite z gwarantowanym czasem skutecznej naprawy serwera najpóźniej w następnym dniu roboczym od zgłoszenia usterki;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-Dostępność części zamiennych przez 5 lat od momentu zakupu serwera;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-Wymagana jest bezpłatna dostępność poprawek i aktualizacji BIOS/Firmware/sterowników dożywotnio dla oferowanego serwera – jeżeli funkcjonalność ta wymaga dodatkowego serwisu lub licencji producenta serwera takowa licencja musi być uwzględniona w konfiguracji;</w:t>
            </w:r>
          </w:p>
        </w:tc>
      </w:tr>
      <w:tr>
        <w:trPr>
          <w:trHeight w:val="4371" w:hRule="atLeast"/>
          <w:cantSplit w:val="false"/>
        </w:trPr>
        <w:tc>
          <w:tcPr>
            <w:tcW w:w="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15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Dokumentacja, inne</w:t>
            </w: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-Elementy, z których zbudowane są serwery muszą być produktami producenta tych serwerów lub być przez niego certyfikowane oraz całe muszą być objęte gwarancją producenta, o wymaganym w specyfikacji poziomie SLA (wymagane oświadczenie producenta serwera potwierdzające spełnienie wymagań dołączone do oferty).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-Serwer musi być fabrycznie nowy i pochodzić z oficjalnego kanału dystrybucyjnego w Polsce - Wymagane oświadczenie producenta serwera, że oferowany do przetargu sprzęt spełnia ten wymóg;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-Oferent zobowiązany jest dostarczyć wraz z ofertą kartę produktową oferowanego serwera umożliwiającą weryfikację parametrów oferowanego sprzętu;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-Ogólnopolska, telefoniczna infolinia/linia techniczna producenta serwera, (ogólnopolski numer o zredukowanej odpłatności 0-800/0-801, w ofercie należy podać nr telefonu) w czasie obowiązywania gwarancji na sprzęt i umożliwiająca po podaniu numeru seryjnego urządzenia weryfikację: konfiguracji sprzętowej serwera, w tym model i typ dysków twardych, procesora, ilość fabrycznie zainstalowanej pamięci operacyjnej, czasu obowiązywania i typ udzielonej gwarancji;</w:t>
            </w:r>
          </w:p>
          <w:p>
            <w:pPr>
              <w:pStyle w:val="Normal"/>
              <w:jc w:val="both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-Możliwość aktualizacji i pobrania sterowników do oferowanego modelu serwera w najnowszych certyfikowanych wersjach bezpośrednio z sieci Internet za pośrednictwem strony www producenta serwera;</w:t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System operacyjny do serwera – 2 szt.</w:t>
      </w:r>
    </w:p>
    <w:p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Windows serwer Standard 2019 - 16core   - 2019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hd w:fill="FFFFFF" w:val="clea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Licencje dostępowe </w:t>
      </w:r>
    </w:p>
    <w:p>
      <w:pPr>
        <w:pStyle w:val="ListParagraph"/>
        <w:shd w:fill="FFFFFF" w:val="clea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Windows Serwer 2019 CAL per device = 2x5 szt.</w:t>
      </w:r>
    </w:p>
    <w:p>
      <w:pPr>
        <w:pStyle w:val="Tretekstu"/>
        <w:shd w:fill="FFFFFF" w:val="clear"/>
        <w:spacing w:before="0" w:after="1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Uwagi:</w:t>
      </w:r>
    </w:p>
    <w:p>
      <w:pPr>
        <w:pStyle w:val="Tretekstu"/>
        <w:shd w:fill="FFFFFF" w:val="clear"/>
        <w:spacing w:lineRule="auto" w:line="252" w:before="0" w:after="1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Niespełnienie któregoś z </w:t>
      </w:r>
      <w:bookmarkStart w:id="0" w:name="__DdeLink__188_570607237"/>
      <w:r>
        <w:rPr>
          <w:rFonts w:ascii="Calibri" w:hAnsi="Calibri"/>
          <w:sz w:val="22"/>
          <w:szCs w:val="22"/>
        </w:rPr>
        <w:t>podanych minimalnych wymagań</w:t>
      </w:r>
      <w:bookmarkEnd w:id="0"/>
      <w:r>
        <w:rPr>
          <w:rFonts w:ascii="Calibri" w:hAnsi="Calibri"/>
          <w:sz w:val="22"/>
          <w:szCs w:val="22"/>
        </w:rPr>
        <w:t xml:space="preserve"> powoduje odrzucenie oferty.</w:t>
      </w:r>
    </w:p>
    <w:p>
      <w:pPr>
        <w:pStyle w:val="Tretekstu"/>
        <w:shd w:fill="FFFFFF" w:val="clear"/>
        <w:spacing w:before="0" w:after="0"/>
        <w:ind w:left="18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Oświadczamy, iż wyspecyfikowane powyżej urządzenia są nowe, kompletne spełniające podane minimalne wymagania i będą po montażu i zainstalowaniu gotowe do podjęcia prawidłowej pracy bez żadnych dodatkowych zakupów</w:t>
      </w:r>
    </w:p>
    <w:p>
      <w:pPr>
        <w:pStyle w:val="Tretekstu"/>
        <w:shd w:fill="FFFFFF" w:val="clear"/>
        <w:ind w:left="5664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retekstu"/>
        <w:shd w:fill="FFFFFF" w:val="clear"/>
        <w:ind w:left="5664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retekstu"/>
        <w:shd w:fill="FFFFFF" w:val="clear"/>
        <w:ind w:left="5664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</w:t>
      </w:r>
    </w:p>
    <w:p>
      <w:pPr>
        <w:pStyle w:val="Tretekstu"/>
        <w:shd w:fill="FFFFFF" w:val="clea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                                                                                                                       Podpis Wykonawcy</w:t>
      </w:r>
    </w:p>
    <w:p>
      <w:pPr>
        <w:pStyle w:val="Normal"/>
        <w:shd w:fill="FFFFFF" w:val="clear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ee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0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91c9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3">
    <w:name w:val="Nagłówek 3"/>
    <w:qFormat/>
    <w:link w:val="Nagwek3Znak"/>
    <w:rsid w:val="00191c90"/>
    <w:basedOn w:val="Normal"/>
    <w:pPr>
      <w:keepNext/>
      <w:jc w:val="center"/>
      <w:outlineLvl w:val="2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3Znak" w:customStyle="1">
    <w:name w:val="Nagłówek 3 Znak"/>
    <w:link w:val="Nagwek3"/>
    <w:rsid w:val="00191c90"/>
    <w:basedOn w:val="DefaultParagraphFont"/>
    <w:rPr>
      <w:rFonts w:ascii="Times New Roman" w:hAnsi="Times New Roman" w:eastAsia="Times New Roman" w:cs="Times New Roman"/>
      <w:b/>
      <w:sz w:val="36"/>
      <w:szCs w:val="20"/>
      <w:lang w:val="pl-PL" w:eastAsia="pl-PL"/>
    </w:rPr>
  </w:style>
  <w:style w:type="character" w:styleId="Annotationreference">
    <w:name w:val="annotation reference"/>
    <w:uiPriority w:val="99"/>
    <w:semiHidden/>
    <w:unhideWhenUsed/>
    <w:rsid w:val="00e00aa6"/>
    <w:basedOn w:val="DefaultParagraphFont"/>
    <w:rPr>
      <w:sz w:val="16"/>
      <w:szCs w:val="16"/>
    </w:rPr>
  </w:style>
  <w:style w:type="character" w:styleId="TekstkomentarzaZnak" w:customStyle="1">
    <w:name w:val="Tekst komentarza Znak"/>
    <w:uiPriority w:val="99"/>
    <w:link w:val="Tekstkomentarza"/>
    <w:rsid w:val="00e00aa6"/>
    <w:basedOn w:val="DefaultParagraphFont"/>
    <w:rPr>
      <w:rFonts w:ascii="Times New Roman" w:hAnsi="Times New Roman" w:eastAsia="Times New Roman" w:cs="Times New Roman"/>
      <w:sz w:val="20"/>
      <w:szCs w:val="20"/>
      <w:lang w:val="pl-PL" w:eastAsia="pl-PL"/>
    </w:rPr>
  </w:style>
  <w:style w:type="character" w:styleId="TematkomentarzaZnak" w:customStyle="1">
    <w:name w:val="Temat komentarza Znak"/>
    <w:uiPriority w:val="99"/>
    <w:semiHidden/>
    <w:link w:val="Tematkomentarza"/>
    <w:rsid w:val="00e00aa6"/>
    <w:basedOn w:val="TekstkomentarzaZnak"/>
    <w:rPr>
      <w:rFonts w:ascii="Times New Roman" w:hAnsi="Times New Roman" w:eastAsia="Times New Roman" w:cs="Times New Roman"/>
      <w:b/>
      <w:bCs/>
      <w:sz w:val="20"/>
      <w:szCs w:val="20"/>
      <w:lang w:val="pl-PL" w:eastAsia="pl-PL"/>
    </w:rPr>
  </w:style>
  <w:style w:type="character" w:styleId="TekstdymkaZnak" w:customStyle="1">
    <w:name w:val="Tekst dymka Znak"/>
    <w:uiPriority w:val="99"/>
    <w:semiHidden/>
    <w:link w:val="Tekstdymka"/>
    <w:rsid w:val="00e00aa6"/>
    <w:basedOn w:val="DefaultParagraphFont"/>
    <w:rPr>
      <w:rFonts w:ascii="Tahoma" w:hAnsi="Tahoma" w:eastAsia="Times New Roman" w:cs="Tahoma"/>
      <w:sz w:val="16"/>
      <w:szCs w:val="16"/>
      <w:lang w:val="pl-PL" w:eastAsia="pl-PL"/>
    </w:rPr>
  </w:style>
  <w:style w:type="character" w:styleId="Czeinternetowe">
    <w:name w:val="Łącze internetowe"/>
    <w:uiPriority w:val="99"/>
    <w:unhideWhenUsed/>
    <w:rsid w:val="00f13e3e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191c9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MS Mincho" w:cs="Arial"/>
      <w:color w:val="000000"/>
      <w:sz w:val="24"/>
      <w:szCs w:val="24"/>
      <w:lang w:val="pl-PL" w:eastAsia="ja-JP" w:bidi="ar-SA"/>
    </w:rPr>
  </w:style>
  <w:style w:type="paragraph" w:styleId="ListParagraph">
    <w:name w:val="List Paragraph"/>
    <w:uiPriority w:val="34"/>
    <w:qFormat/>
    <w:rsid w:val="00a70d90"/>
    <w:basedOn w:val="Normal"/>
    <w:pPr>
      <w:spacing w:before="0" w:after="0"/>
      <w:ind w:left="720" w:right="0" w:hanging="0"/>
      <w:contextualSpacing/>
    </w:pPr>
    <w:rPr/>
  </w:style>
  <w:style w:type="paragraph" w:styleId="Annotationtext">
    <w:name w:val="annotation text"/>
    <w:uiPriority w:val="99"/>
    <w:unhideWhenUsed/>
    <w:link w:val="TekstkomentarzaZnak"/>
    <w:rsid w:val="00e00aa6"/>
    <w:basedOn w:val="Normal"/>
    <w:pPr/>
    <w:rPr/>
  </w:style>
  <w:style w:type="paragraph" w:styleId="Annotationsubject">
    <w:name w:val="annotation subject"/>
    <w:uiPriority w:val="99"/>
    <w:semiHidden/>
    <w:unhideWhenUsed/>
    <w:link w:val="TematkomentarzaZnak"/>
    <w:rsid w:val="00e00aa6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TekstdymkaZnak"/>
    <w:rsid w:val="00e00aa6"/>
    <w:basedOn w:val="Normal"/>
    <w:pPr/>
    <w:rPr>
      <w:rFonts w:ascii="Tahoma" w:hAnsi="Tahoma" w:cs="Tahoma"/>
      <w:sz w:val="16"/>
      <w:szCs w:val="16"/>
    </w:rPr>
  </w:style>
  <w:style w:type="paragraph" w:styleId="FSC1sthead" w:customStyle="1">
    <w:name w:val="FSC: 1st head"/>
    <w:rsid w:val="00177df7"/>
    <w:basedOn w:val="Normal"/>
    <w:pPr>
      <w:keepNext/>
      <w:suppressAutoHyphens w:val="true"/>
      <w:spacing w:before="120" w:after="120"/>
      <w:outlineLvl w:val="0"/>
    </w:pPr>
    <w:rPr>
      <w:rFonts w:ascii="Arial" w:hAnsi="Arial"/>
      <w:b/>
      <w:sz w:val="30"/>
      <w:lang w:val="en-US" w:eastAsia="de-DE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FDAE-B581-45A1-97A6-CAFBD7C0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2019-09-17T12:48:00Z</dcterms:created>
  <dc:creator>Marcin Saracen</dc:creator>
  <dc:language>pl-PL</dc:language>
  <cp:lastModifiedBy>Marcin Saracen</cp:lastModifiedBy>
  <cp:lastPrinted>2019-09-23T10:02:04Z</cp:lastPrinted>
  <dcterms:modified xsi:type="dcterms:W3CDTF">2019-09-19T06:38:00Z</dcterms:modified>
  <cp:revision>5</cp:revision>
</cp:coreProperties>
</file>