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52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01"/>
        <w:gridCol w:w="1866"/>
        <w:gridCol w:w="1592"/>
        <w:gridCol w:w="1867"/>
      </w:tblGrid>
      <w:tr>
        <w:trPr>
          <w:trHeight w:val="1692" w:hRule="atLeast"/>
          <w:cantSplit w:val="false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…………………………</w:t>
            </w:r>
          </w:p>
          <w:p>
            <w:pPr>
              <w:pStyle w:val="Tretekstu"/>
              <w:jc w:val="left"/>
              <w:rPr>
                <w:rFonts w:ascii="Book Antiqua" w:hAnsi="Book Antiqua"/>
                <w:b w:val="false"/>
                <w:sz w:val="20"/>
              </w:rPr>
            </w:pPr>
            <w:r>
              <w:rPr>
                <w:rFonts w:ascii="Book Antiqua" w:hAnsi="Book Antiqua"/>
                <w:b w:val="false"/>
                <w:sz w:val="20"/>
              </w:rPr>
              <w:t>Pieczątka Wykonawcy</w:t>
            </w:r>
          </w:p>
          <w:p>
            <w:pPr>
              <w:pStyle w:val="Tretekstu"/>
              <w:spacing w:before="0" w:after="140"/>
              <w:jc w:val="left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 xml:space="preserve">Załącznik nr 1 – opis przedmiotu zamówienia – parametry techniczne </w:t>
            </w:r>
            <w:bookmarkStart w:id="0" w:name="_GoBack1"/>
            <w:bookmarkEnd w:id="0"/>
            <w:r>
              <w:rPr>
                <w:rFonts w:ascii="Book Antiqua" w:hAnsi="Book Antiqua"/>
                <w:b/>
                <w:bCs/>
                <w:sz w:val="22"/>
              </w:rPr>
              <w:t>echokardiografu</w:t>
            </w:r>
          </w:p>
          <w:tbl>
            <w:tblPr>
              <w:jc w:val="left"/>
              <w:tblInd w:w="-108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  <w:right w:val="nil"/>
                <w:insideV w:val="nil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4530"/>
              <w:gridCol w:w="5331"/>
            </w:tblGrid>
            <w:tr>
              <w:trPr>
                <w:cantSplit w:val="false"/>
              </w:trPr>
              <w:tc>
                <w:tcPr>
                  <w:tcW w:w="45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NAZWA OFERENTA</w:t>
                  </w:r>
                </w:p>
              </w:tc>
              <w:tc>
                <w:tcPr>
                  <w:tcW w:w="53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53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PRODUCENT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53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MODEL/TYP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53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KRAJ POCHODZENIA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53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ROK PRODUKCJI (WYMAGANE FABRYCZNIE NOWE)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53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nil"/>
                    <w:insideV w:val="nil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insideH w:val="single" w:sz="2" w:space="0" w:color="000001"/>
                    <w:right w:val="single" w:sz="2" w:space="0" w:color="000001"/>
                    <w:insideV w:val="single" w:sz="2" w:space="0" w:color="000001"/>
                  </w:tcBorders>
                  <w:shd w:fill="FFFFFF" w:val="clear"/>
                  <w:tcMar>
                    <w:left w:w="51" w:type="dxa"/>
                  </w:tcMar>
                </w:tcPr>
                <w:p>
                  <w:pPr>
                    <w:pStyle w:val="Zawartotabeli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>
            <w:pPr>
              <w:pStyle w:val="Nagwek3"/>
              <w:spacing w:before="240" w:after="12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Lp.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Opis parametru wymaganego/ granicznego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Wartość wymagana/graniczna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Wartość oferowana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Punktacja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I Parametry ogólne</w:t>
            </w:r>
          </w:p>
        </w:tc>
      </w:tr>
      <w:tr>
        <w:trPr>
          <w:trHeight w:val="269" w:hRule="atLeast"/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Rok produkcji 2017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System o zwartej jednomodułowej konstrukcji wyposażony w cztery skrętne koła z możliwością blokowania na stałe i do jazdy na wprost dwóch z nich 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jc w:val="left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II Konstrukcja i konfiguracja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procesowych kanałów odbiorczych min. 4 000 000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4500000 – 4000000 kanałów 0 pkt.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4500000 kanałów 10 pkt.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28" w:before="0" w:after="2"/>
              <w:rPr>
                <w:rFonts w:eastAsia="Times New Roman" w:ascii="Book Antiqua" w:hAnsi="Book Antiqua"/>
                <w:color w:val="181717"/>
                <w:sz w:val="17"/>
                <w:szCs w:val="17"/>
              </w:rPr>
            </w:pPr>
            <w:r>
              <w:rPr>
                <w:rFonts w:eastAsia="Times New Roman" w:ascii="Book Antiqua" w:hAnsi="Book Antiqua"/>
                <w:color w:val="181717"/>
                <w:sz w:val="17"/>
                <w:szCs w:val="17"/>
              </w:rPr>
              <w:t>Cyfrowy monitor LCD o przekątnej ekranu powyżej 21”, o rozdzielczości min. 1920 x 1080 pixeli, regulowany w trzech płaszczyznach niezależnie od panelu sterowania, antyrefleksowy zapewniający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Book Antiqua" w:hAnsi="Book Antiqua"/>
                <w:color w:val="181717"/>
                <w:sz w:val="17"/>
                <w:szCs w:val="17"/>
              </w:rPr>
            </w:pPr>
            <w:r>
              <w:rPr>
                <w:rFonts w:eastAsia="Times New Roman" w:ascii="Book Antiqua" w:hAnsi="Book Antiqua"/>
                <w:color w:val="181717"/>
                <w:sz w:val="17"/>
                <w:szCs w:val="17"/>
              </w:rPr>
              <w:t>możliwość pracy w warunkach naturalnego/sztucznego oświetlenia.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20-21” 0 pkt.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21” 10 pkt.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 aktywne, równoważne gniazda do przyłączenia głowic obrazowych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 aktywne gniazdo do przyłączenia głowicy dopplerowskiej tzw. „ślepej”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płynnej regulacji położenia panelu sterowania w kierunkach – góra/dół min 20 cm, obrót w lewo/prawo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Wewnętrzny dysk twardy o pojemności min.512 GB, formaty zapisu min. DICOM, AVI, JPG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obrazów pamięci dynamicznej (cineloop) dla CD i obrazu 2D 2200 klatek oraz zapis dopplera spektralnego min. 45 sekund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trHeight w:val="513" w:hRule="atLeast"/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Dynamika aparatu min. 260 dB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260 – 270 dB 0 pkt.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270 dB 10 pkt.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pracy ultrasonografu min 20 MHz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Nagrywarka DVD R/RW wbudowana w aparat, formaty zapisu min. DICOM, AVI, JPG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Videoprinter czarno-biały małego formatu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Panel dotykowy o przekątnej min. 12”, wspomagający obsługę aparatu z możliwością regulacji jasności, przesuwania stron za pomocą dotyku jak tablet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Funkcja zdublowania na ekranie panelu dotykowego obrazu diagnostycznego celem ułatwienia dostępu do uzyskiwanego obrazu diagnostycznego np. podczas procedur interwencyjnych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TAK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Funkcja powiększenia obrazu diagnostycznego na 2/3 objętości ekranu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III Obrazowanie i prezentacja obrazu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Regulacja głębokości penetracji w zakresie od 2 cm do 30 cm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Jednoczesne wyświetlanie na ekranie dwóch obrazów w czasie rzeczywistym typu B i B/CD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Anatomiczny M-Mode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Regulacja wzmocnienia głębokościowego (TGC) min. 8 regulatorów oraz wzmocnienia poprzecznego (LGC) wiązki ultradźwiękowej min 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Częstotliwość odświeżania obrazu 2D min. 1400 obrazów na sek.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pulsacyjny (PWD), Color Doppler (CD), Power Doppler (PD) dostępny na wszystkich oferowanych głowicach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Specjalistyczne oprogramowanie do badań kardiologicznych, </w:t>
            </w:r>
            <w:r>
              <w:rPr>
                <w:rFonts w:ascii="Book Antiqua" w:hAnsi="Book Antiqua"/>
                <w:sz w:val="17"/>
                <w:szCs w:val="17"/>
              </w:rPr>
              <w:t>min stresecho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trHeight w:val="263" w:hRule="atLeast"/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Obrazowanie harmoniczne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Obrazowanie harmoniczne z odwróceniem impulsu (inwersją fazy)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ciągły (CW) dostępny na głowicy sektorowej kardiologicznej z prędkością min. 19 m/s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tkankowy oferowany na głowicy sektorowej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Power Doppler z oznaczeniem kierunku przepływu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Regulacja wielkości bramki Dopplerowskiej (SV) w zakresie min. 0,5 mm - 20,0 mm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IV Funkcje użytkowe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Min. 15-stopniowe powiększenie obrazu w czasie rzeczywistym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Min. 15-stopniowe powiększenia obrazu zamrożonego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oprogramowanie bazujące na technologii „śledzenia markerów 2D” do analizy kurczliwości globalnej i odcinkowej lewej komory. Podsumowanie w postaci wykresu Bull-Eye min 17 segmentów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P</w:t>
            </w:r>
            <w:r>
              <w:rPr>
                <w:rFonts w:ascii="Book Antiqua" w:hAnsi="Book Antiqua"/>
                <w:sz w:val="17"/>
                <w:szCs w:val="17"/>
              </w:rPr>
              <w:t>raca w trybie wielokierunkowego emitowania i składania wiązki ultradźwiękowej z głowic w pełni elektronicznych, z min. 9 kątami emitowania wiązki tworzącymi obraz 2D na wszystkich głowicach convex, liniowych. Wymóg pracy dla trybu 2D oraz w trybie obrazowania harmonicznego.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Adaptacyjne przetwarzanie obrazu redukujące artefakty i szumy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Pomiar obwodu, pola powierzchni, objętości, kątów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trHeight w:val="230" w:hRule="atLeast"/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Pomiar odległości, min. 8 pomiarów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zaprogramowania w aparacie nowych pomiarów oraz kalkulacji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funkcję ciągłej automatycznej optymalizacji obrazu 2D wyzwalaną przy pomocy jednego przycisku (m.in. automatyczne dopasowanie wzmocnienia obrazu)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V Głowice ultradźwiękowe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sektorowa do badań kardiologicznych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Zakresie częstotliwości min od 1,0 do 4 MHz (±1 MHz)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 głowicy min. 80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przezprzełykowa do badań kardiologicznych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min. od 2,0 do 8,0 MHz (±1,0 MHz)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akustycznych, min. 2450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 2450 - 0 pkt.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˂ 2450 - 10 pkt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000000"/>
                <w:sz w:val="17"/>
                <w:szCs w:val="17"/>
              </w:rPr>
            </w:pPr>
            <w:r>
              <w:rPr>
                <w:rFonts w:ascii="Book Antiqua" w:hAnsi="Book Antiqua"/>
                <w:color w:val="000000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przezprzełykowa do badań kardiologicznych dzieci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3.0 do 7.0 MHz (±1,0 MHz)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Średnica głowicy max. 7,5 mm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Waga głowicy, min. 3,5 kg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olor w:val="FF0000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liniowa do badań naczyniowych, małych narządów i mięśniowo-szkieletowych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min. od 5,0 do 13,0 MHz (±1 MHz)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 głowicy min. 500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Szerokość pola widzenia głowicy min. 50 mm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zastosowania przystawki biopsyjnej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mikrosektorowa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min. od 3,0 do 9,0 MHz (±1 MHz)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głowicy akustycznych min. 92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VI Inne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Raporty dla każdego rodzaju i trybu badania z możliwością dołączenia obrazów do raportów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Protokół komunikacji DICOM 3,0 do przesyłania obrazów i danych, min. klasy DICOM print, store, worklist, raporty strukturalne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konfiguracji raportu poprzez zmianę jego wyglądu, definiowania pomiarów oraz np możliwość zamieszczenia graficznego loga w nagłówku szpitala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Dostępne bezpłatne narzędzie  do tworzenia własnego wzoru raportu na zewętrznym komputerze PC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funkcje zabezpieczenia hasłem dostępu do danych pacjenta przez nieuprawnione osoby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funkcję wgrywania do aparatu i wyświetlania na ekranie obrazów z badań CT, MRI, PET, X-Ray, Mammography celem dokonywania porównań z aktualnie wyświetlanymi obrazami badania USG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funkcję automatycznego pomiaru Intima Media z wybranej przez użytkownika klatki pamięci CINE ze wskazaniem skuteczności wykonanego pomiaru wyrażonym w procentach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Możliwość rozbudowy o opcję obrazowania panoramicznego zapewniającą podgląd sklejanego obrazu w czasie rzeczywistym, dostępną na głowicach convex i liniowych 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</w:tc>
        <w:tc>
          <w:tcPr>
            <w:tcW w:w="9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VII Gwarancja i serwis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Gwarancja na cały oferowany zestaw min. 24 miesiące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color w:val="000000"/>
                <w:sz w:val="17"/>
                <w:szCs w:val="17"/>
              </w:rPr>
            </w:pPr>
            <w:r>
              <w:rPr>
                <w:rFonts w:ascii="Book Antiqua" w:hAnsi="Book Antiqua"/>
                <w:color w:val="000000"/>
                <w:sz w:val="17"/>
                <w:szCs w:val="17"/>
              </w:rPr>
              <w:t>Wsparcie serwisowe (możliwość diagnostyki) oferowanego aparatu poprzez łącze zdalne.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 / NIE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 20 pkt.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NIE 0 pkt.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3" w:right="0" w:hanging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Gwarancja dostępności części zamiennych przez okres min. 10 lat od momentu złożenia oferty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trHeight w:val="438" w:hRule="atLeast"/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Instrukcja obsługi w języku polskim w formie drukowanej i elektronicznej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Autoryzowany serwis gwarancyjny i pogwarancyjny na terenie Polski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zgłaszania awarii 24h/dobę przez cały rok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Wykonanie nieodpłatnie w okresie gwarancji wymaganych przez producenta przeglądów technicznych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390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Potwierdzenie parametrów technicznych przez producenta oferowanego przedmiotu zamówienia w oryginalnych materiałach producenta (w języku polskim) lub oświadczeniach producenta, umożliwiające weryfikację zgodności oferowanego produktu z wymaganiami Zamawiającego określonymi w SIWZ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  <w:tc>
          <w:tcPr>
            <w:tcW w:w="15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8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punktacji</w:t>
            </w:r>
          </w:p>
        </w:tc>
      </w:tr>
    </w:tbl>
    <w:p>
      <w:pPr>
        <w:pStyle w:val="Nagwek3"/>
        <w:spacing w:before="0" w:after="200"/>
        <w:rPr>
          <w:rFonts w:ascii="Book Antiqua" w:hAnsi="Book Antiqua"/>
          <w:b w:val="false"/>
          <w:strike w:val="false"/>
          <w:dstrike w:val="false"/>
          <w:sz w:val="16"/>
          <w:szCs w:val="16"/>
          <w:u w:val="none"/>
          <w:effect w:val="none"/>
        </w:rPr>
      </w:pPr>
      <w:r>
        <w:rPr>
          <w:rFonts w:ascii="Book Antiqua" w:hAnsi="Book Antiqua"/>
          <w:strike w:val="false"/>
          <w:dstrike w:val="false"/>
          <w:sz w:val="16"/>
          <w:szCs w:val="16"/>
          <w:u w:val="none"/>
          <w:effect w:val="none"/>
        </w:rPr>
        <w:t xml:space="preserve">UWAGA: </w:t>
      </w:r>
      <w:r>
        <w:rPr>
          <w:rFonts w:ascii="Book Antiqua" w:hAnsi="Book Antiqua"/>
          <w:b w:val="false"/>
          <w:strike w:val="false"/>
          <w:dstrike w:val="false"/>
          <w:sz w:val="16"/>
          <w:szCs w:val="16"/>
          <w:u w:val="none"/>
          <w:effect w:val="none"/>
        </w:rPr>
        <w:t>w kolumnie warunek  graniczny TAK – oznacza bezwzględny wymóg, brak żądanej opcji lub niewypełnienie pola odpowiedzi spowoduje odrzucenie oferty</w:t>
      </w:r>
    </w:p>
    <w:p>
      <w:pPr>
        <w:pStyle w:val="Tretekstu"/>
        <w:ind w:left="3540" w:right="0" w:hanging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                                                            …</w:t>
      </w:r>
      <w:r>
        <w:rPr>
          <w:rFonts w:ascii="Book Antiqua" w:hAnsi="Book Antiqua"/>
          <w:sz w:val="16"/>
          <w:szCs w:val="16"/>
        </w:rPr>
        <w:t xml:space="preserve">..................................................... </w:t>
      </w:r>
    </w:p>
    <w:p>
      <w:pPr>
        <w:pStyle w:val="Nagwek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       </w:t>
      </w:r>
      <w:r>
        <w:rPr>
          <w:rFonts w:ascii="Book Antiqua" w:hAnsi="Book Antiqua"/>
          <w:sz w:val="16"/>
          <w:szCs w:val="16"/>
        </w:rPr>
        <w:t>Data                                                                                                                                            Podpis Wykonawcy</w:t>
      </w:r>
    </w:p>
    <w:p>
      <w:pPr>
        <w:pStyle w:val="Tretekstu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970843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ed2bf1"/>
    <w:basedOn w:val="Normal"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Standardowy"/>
    <w:uiPriority w:val="59"/>
    <w:rsid w:val="00ed2bf1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2017-11-21T11:35:00Z</dcterms:created>
  <dc:creator>Gryz, Marcin</dc:creator>
  <dc:language>pl-PL</dc:language>
  <cp:lastModifiedBy>Tomasz Bogdański</cp:lastModifiedBy>
  <cp:lastPrinted>2017-11-29T09:09:11Z</cp:lastPrinted>
  <dcterms:modified xsi:type="dcterms:W3CDTF">2017-11-21T11:35:00Z</dcterms:modified>
  <cp:revision>2</cp:revision>
</cp:coreProperties>
</file>